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A3E" w:rsidRDefault="00BF4A3E" w:rsidP="00BF4A3E">
      <w:pPr>
        <w:shd w:val="clear" w:color="auto" w:fill="FFFFFF"/>
        <w:spacing w:line="840" w:lineRule="atLeast"/>
        <w:jc w:val="center"/>
        <w:rPr>
          <w:rFonts w:ascii="Arial" w:hAnsi="Arial" w:cs="Arial"/>
          <w:b/>
          <w:bCs/>
          <w:color w:val="252525"/>
          <w:sz w:val="28"/>
          <w:szCs w:val="28"/>
          <w:lang w:eastAsia="es-CR"/>
        </w:rPr>
      </w:pPr>
      <w:r>
        <w:rPr>
          <w:rFonts w:ascii="Arial" w:hAnsi="Arial" w:cs="Arial"/>
          <w:b/>
          <w:bCs/>
          <w:noProof/>
          <w:color w:val="252525"/>
          <w:sz w:val="28"/>
          <w:szCs w:val="28"/>
          <w:lang w:eastAsia="es-CR"/>
        </w:rPr>
        <w:drawing>
          <wp:inline distT="0" distB="0" distL="0" distR="0" wp14:anchorId="1B8BED2C" wp14:editId="6216820E">
            <wp:extent cx="1038860" cy="1060450"/>
            <wp:effectExtent l="0" t="0" r="8890" b="6350"/>
            <wp:docPr id="2" name="Imagen 2" descr="cid:image002.png@01D0F548.07230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D0F548.0723039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252525"/>
          <w:sz w:val="28"/>
          <w:szCs w:val="28"/>
          <w:lang w:eastAsia="es-CR"/>
        </w:rPr>
        <w:drawing>
          <wp:inline distT="0" distB="0" distL="0" distR="0" wp14:anchorId="14884175" wp14:editId="4A43EE55">
            <wp:extent cx="1470660" cy="1134110"/>
            <wp:effectExtent l="0" t="0" r="0" b="0"/>
            <wp:docPr id="1" name="Imagen 1" descr="cid:image003.png@01D0F548.07230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cid:image003.png@01D0F548.0723039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A3E" w:rsidRPr="00CB31C4" w:rsidRDefault="00BF4A3E" w:rsidP="00BF4A3E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19"/>
          <w:szCs w:val="19"/>
          <w:lang w:val="es-MX" w:eastAsia="es-CR"/>
        </w:rPr>
      </w:pPr>
      <w:r>
        <w:rPr>
          <w:rFonts w:ascii="Arial" w:eastAsia="Times New Roman" w:hAnsi="Arial" w:cs="Arial"/>
          <w:b/>
          <w:bCs/>
          <w:sz w:val="28"/>
          <w:szCs w:val="19"/>
          <w:lang w:val="es-MX" w:eastAsia="es-CR"/>
        </w:rPr>
        <w:t>Resoluciones de la Sala Constitucional que han ordenado al Ministerio de Justicia y Paz reducir el hacinamiento penitenciario</w:t>
      </w:r>
    </w:p>
    <w:p w:rsidR="00BF4A3E" w:rsidRDefault="00BF4A3E" w:rsidP="00BF4A3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4E3B62" w:rsidRDefault="00BF4A3E" w:rsidP="00BF4A3E">
      <w:pPr>
        <w:jc w:val="both"/>
      </w:pPr>
      <w:r w:rsidRPr="00BF4A3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San José, 11 de noviembre, 2015.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Estas son algunas r</w:t>
      </w:r>
      <w:r w:rsidR="004E3B62" w:rsidRPr="00BF4A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esoluciones de la Sala Constitucional que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han ordenado a quienes ocupen el cargo de ministro de Justicia y Paz, director de Adaptación Social o directores de los Centros de Atención Institucional,</w:t>
      </w:r>
      <w:r w:rsidR="004E3B62" w:rsidRPr="00BF4A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soluciona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 el problema del hacinamiento penitenciario, bajo a</w:t>
      </w:r>
      <w:r w:rsidR="004E3B62" w:rsidRPr="00BF4A3E">
        <w:rPr>
          <w:rFonts w:ascii="Arial" w:hAnsi="Arial" w:cs="Arial"/>
          <w:color w:val="000000"/>
          <w:sz w:val="24"/>
          <w:szCs w:val="24"/>
          <w:shd w:val="clear" w:color="auto" w:fill="FFFFFF"/>
        </w:rPr>
        <w:t>percibimiento de que podría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 </w:t>
      </w:r>
      <w:r w:rsidR="004E3B62" w:rsidRPr="00BF4A3E">
        <w:rPr>
          <w:rFonts w:ascii="Arial" w:hAnsi="Arial" w:cs="Arial"/>
          <w:color w:val="000000"/>
          <w:sz w:val="24"/>
          <w:szCs w:val="24"/>
          <w:shd w:val="clear" w:color="auto" w:fill="FFFFFF"/>
        </w:rPr>
        <w:t>incurrir en el delito  tipificado en el artículo 71 de  </w:t>
      </w:r>
      <w:r w:rsidR="004E3B62" w:rsidRPr="00BF4A3E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4E3B62" w:rsidRPr="00BF4A3E">
        <w:rPr>
          <w:rFonts w:ascii="Arial" w:hAnsi="Arial" w:cs="Arial"/>
          <w:sz w:val="24"/>
          <w:szCs w:val="24"/>
        </w:rPr>
        <w:t>la Ley</w:t>
      </w:r>
      <w:r w:rsidR="004E3B62" w:rsidRPr="00BF4A3E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4E3B62" w:rsidRPr="00BF4A3E">
        <w:rPr>
          <w:rFonts w:ascii="Arial" w:hAnsi="Arial" w:cs="Arial"/>
          <w:color w:val="000000"/>
          <w:sz w:val="24"/>
          <w:szCs w:val="24"/>
          <w:shd w:val="clear" w:color="auto" w:fill="FFFFFF"/>
        </w:rPr>
        <w:t>de</w:t>
      </w:r>
      <w:r w:rsidR="004E3B62" w:rsidRPr="00BF4A3E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4E3B62" w:rsidRPr="00BF4A3E">
        <w:rPr>
          <w:rFonts w:ascii="Arial" w:hAnsi="Arial" w:cs="Arial"/>
          <w:sz w:val="24"/>
          <w:szCs w:val="24"/>
        </w:rPr>
        <w:t>la Jurisdicción Constitucional</w:t>
      </w:r>
      <w:r w:rsidR="004E3B62" w:rsidRPr="00BF4A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el cual dispone que </w:t>
      </w:r>
      <w:r w:rsidR="004E3B62" w:rsidRPr="00BF4A3E">
        <w:rPr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  <w:t>se impondrá prisión de tres meses a dos años</w:t>
      </w:r>
      <w:r w:rsidR="004E3B62" w:rsidRPr="00BF4A3E">
        <w:rPr>
          <w:rFonts w:ascii="Arial" w:hAnsi="Arial" w:cs="Arial"/>
          <w:color w:val="000000"/>
          <w:sz w:val="24"/>
          <w:szCs w:val="24"/>
          <w:shd w:val="clear" w:color="auto" w:fill="FFFFFF"/>
        </w:rPr>
        <w:t>, o de veinte a sesenta días multa, a</w:t>
      </w:r>
      <w:r w:rsidR="004E3B62" w:rsidRPr="00BF4A3E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4E3B62" w:rsidRPr="00BF4A3E">
        <w:rPr>
          <w:rFonts w:ascii="Arial" w:hAnsi="Arial" w:cs="Arial"/>
          <w:color w:val="000000"/>
          <w:spacing w:val="-1"/>
          <w:sz w:val="24"/>
          <w:szCs w:val="24"/>
          <w:shd w:val="clear" w:color="auto" w:fill="FFFFFF"/>
        </w:rPr>
        <w:t>quien recibiere una orden que deba cumplir o hacer cumplir, dictada en un recurso</w:t>
      </w:r>
      <w:r w:rsidR="004E3B62" w:rsidRPr="00BF4A3E">
        <w:rPr>
          <w:rStyle w:val="apple-converted-space"/>
          <w:rFonts w:ascii="Arial" w:hAnsi="Arial" w:cs="Arial"/>
          <w:color w:val="000000"/>
          <w:spacing w:val="-1"/>
          <w:sz w:val="24"/>
          <w:szCs w:val="24"/>
          <w:shd w:val="clear" w:color="auto" w:fill="FFFFFF"/>
        </w:rPr>
        <w:t> </w:t>
      </w:r>
      <w:r w:rsidR="004E3B62" w:rsidRPr="00BF4A3E">
        <w:rPr>
          <w:rFonts w:ascii="Arial" w:hAnsi="Arial" w:cs="Arial"/>
          <w:color w:val="000000"/>
          <w:sz w:val="24"/>
          <w:szCs w:val="24"/>
          <w:shd w:val="clear" w:color="auto" w:fill="FFFFFF"/>
        </w:rPr>
        <w:t>de amparo y no la cumpliere o no la hiciere cumplir, siempre que el delito no esté</w:t>
      </w:r>
      <w:r w:rsidR="004E3B62" w:rsidRPr="00BF4A3E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4E3B62" w:rsidRPr="00BF4A3E">
        <w:rPr>
          <w:rFonts w:ascii="Arial" w:hAnsi="Arial" w:cs="Arial"/>
          <w:color w:val="000000"/>
          <w:spacing w:val="-2"/>
          <w:sz w:val="24"/>
          <w:szCs w:val="24"/>
          <w:shd w:val="clear" w:color="auto" w:fill="FFFFFF"/>
        </w:rPr>
        <w:t>más gravemente penado.</w:t>
      </w:r>
    </w:p>
    <w:tbl>
      <w:tblPr>
        <w:tblStyle w:val="Tabladecuadrcula1clara-nfasis3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1701"/>
        <w:gridCol w:w="5245"/>
      </w:tblGrid>
      <w:tr w:rsidR="00A81A44" w:rsidRPr="00BF4A3E" w:rsidTr="004E3B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A81A44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  <w:t>Resolución y fecha</w:t>
            </w:r>
          </w:p>
        </w:tc>
        <w:tc>
          <w:tcPr>
            <w:tcW w:w="1701" w:type="dxa"/>
          </w:tcPr>
          <w:p w:rsidR="00A81A44" w:rsidRPr="00BF4A3E" w:rsidRDefault="00290156" w:rsidP="004E3B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  <w:t>Centro</w:t>
            </w:r>
          </w:p>
        </w:tc>
        <w:tc>
          <w:tcPr>
            <w:tcW w:w="5245" w:type="dxa"/>
          </w:tcPr>
          <w:p w:rsidR="00A81A44" w:rsidRPr="00BF4A3E" w:rsidRDefault="00A81A44" w:rsidP="004E3B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  <w:t>Por tanto</w:t>
            </w:r>
          </w:p>
        </w:tc>
      </w:tr>
      <w:tr w:rsidR="00290156" w:rsidRPr="00BF4A3E" w:rsidTr="004E3B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"/>
              </w:rPr>
              <w:t>2009-01332</w:t>
            </w:r>
            <w:r w:rsidRPr="00BF4A3E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"/>
              </w:rPr>
              <w:t xml:space="preserve"> del 30 de </w:t>
            </w:r>
            <w:proofErr w:type="spellStart"/>
            <w:r w:rsidRPr="00BF4A3E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"/>
              </w:rPr>
              <w:t>enero</w:t>
            </w:r>
            <w:proofErr w:type="spellEnd"/>
            <w:r w:rsidRPr="00BF4A3E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"/>
              </w:rPr>
              <w:t xml:space="preserve"> del 2009</w:t>
            </w:r>
          </w:p>
        </w:tc>
        <w:tc>
          <w:tcPr>
            <w:tcW w:w="1701" w:type="dxa"/>
          </w:tcPr>
          <w:p w:rsidR="00290156" w:rsidRPr="00BF4A3E" w:rsidRDefault="00290156" w:rsidP="004E3B62">
            <w:pPr>
              <w:shd w:val="clear" w:color="auto" w:fill="FFFFFF"/>
              <w:spacing w:before="100" w:beforeAutospacing="1" w:after="100" w:afterAutospacing="1" w:line="48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4E3B62" w:rsidP="004E3B62">
            <w:pPr>
              <w:shd w:val="clear" w:color="auto" w:fill="FFFFFF"/>
              <w:spacing w:before="100" w:beforeAutospacing="1" w:after="100" w:afterAutospacing="1" w:line="48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vertAlign w:val="subscript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br/>
            </w:r>
            <w:r w:rsidR="00290156"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CAI San José</w:t>
            </w:r>
          </w:p>
        </w:tc>
        <w:tc>
          <w:tcPr>
            <w:tcW w:w="5245" w:type="dxa"/>
          </w:tcPr>
          <w:p w:rsidR="00290156" w:rsidRPr="00BF4A3E" w:rsidRDefault="00290156" w:rsidP="004E3B62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Se declara PARCIALMENTE CON LUGAR el recurso. Se ordena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la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MINISTRA DE JUSTICIA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y al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DIRECTOR GENERAL DE ADAPTACIÓN SOCIAL que efectúen los trámites necesarios para que</w:t>
            </w:r>
            <w:r w:rsidRPr="00BF4A3E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en forma inmediata se</w:t>
            </w:r>
            <w:r w:rsidRPr="00BF4A3E">
              <w:rPr>
                <w:rStyle w:val="apple-converted-space"/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solucione el problema de los privados de libertad que se encuentran durmiendo en el suelo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en el Centro de Atención Institucional San José, para que se les facilite una cama en igualdad de condiciones con los demás reclusos que sí la poseen.</w:t>
            </w:r>
          </w:p>
        </w:tc>
      </w:tr>
      <w:tr w:rsidR="00290156" w:rsidRPr="00BF4A3E" w:rsidTr="004E3B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  <w:t>2012-002053 del 17 de febrero, 2012</w:t>
            </w: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</w:tcPr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"/>
              </w:rPr>
            </w:pPr>
          </w:p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"/>
              </w:rPr>
            </w:pPr>
          </w:p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"/>
              </w:rPr>
            </w:pPr>
          </w:p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"/>
              </w:rPr>
            </w:pPr>
            <w:r w:rsidRPr="00BF4A3E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"/>
              </w:rPr>
              <w:t>CAI San José</w:t>
            </w:r>
          </w:p>
        </w:tc>
        <w:tc>
          <w:tcPr>
            <w:tcW w:w="5245" w:type="dxa"/>
          </w:tcPr>
          <w:p w:rsidR="00290156" w:rsidRPr="00BF4A3E" w:rsidRDefault="00290156" w:rsidP="004E3B62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Declara con lugar el recurso y ordena a las autoridades del Ministerio de Justicia y Paz, del Centro Institucional de San José, y la Dirección General de Adaptación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Social, que 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de forma inmediata adopten  las medidas pertinentes para que se elimine el hacinamiento crítico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en el Centro de Atención Institucional de San José, hasta llegar a su capacidad real.</w:t>
            </w:r>
          </w:p>
        </w:tc>
      </w:tr>
      <w:tr w:rsidR="00290156" w:rsidRPr="00BF4A3E" w:rsidTr="004E3B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  <w:t>2012-003294 del 9 de marzo, 2012</w:t>
            </w:r>
          </w:p>
        </w:tc>
        <w:tc>
          <w:tcPr>
            <w:tcW w:w="1701" w:type="dxa"/>
          </w:tcPr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290156" w:rsidRPr="00BF4A3E" w:rsidRDefault="00290156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  <w:t>CAI La Reforma</w:t>
            </w:r>
          </w:p>
        </w:tc>
        <w:tc>
          <w:tcPr>
            <w:tcW w:w="5245" w:type="dxa"/>
          </w:tcPr>
          <w:p w:rsidR="00290156" w:rsidRPr="00BF4A3E" w:rsidRDefault="00290156" w:rsidP="004E3B62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eclara parcialmente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con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lugar el recurso únicamente por violación al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artículo 40 de la Constitución Política.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Ordenó a la Dirección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del Centro de Atención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nstitucional La Reforma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que 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proceda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 xml:space="preserve"> a girar las órdenes que estén dentro del ámbito de sus competencias para que conforme al plan definido por el Ministerio de Justicia, se reduzca el hacinamiento crítico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en el Centro de Atención Institucional La Reforma. De igual forma,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ordenó que quien ocupe el cargo de ministro de Justicia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informe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la Sala sobre un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cumplimiento periódico en el plan de mitigación que ha establecido para eliminar el hacinamiento carcelario.</w:t>
            </w:r>
          </w:p>
        </w:tc>
      </w:tr>
      <w:tr w:rsidR="004E3B62" w:rsidRPr="00BF4A3E" w:rsidTr="004E3B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  <w:t>2012-011765 del 24 de agosto, 2012</w:t>
            </w:r>
          </w:p>
        </w:tc>
        <w:tc>
          <w:tcPr>
            <w:tcW w:w="1701" w:type="dxa"/>
          </w:tcPr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vertAlign w:val="subscript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CAI La Reforma</w:t>
            </w:r>
          </w:p>
        </w:tc>
        <w:tc>
          <w:tcPr>
            <w:tcW w:w="5245" w:type="dxa"/>
          </w:tcPr>
          <w:p w:rsidR="004E3B62" w:rsidRPr="00BF4A3E" w:rsidRDefault="004E3B62" w:rsidP="004E3B62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Se declara con lugar el recurso. Se ordena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al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Directo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r General de Adaptación Social,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del Centro de Atención</w:t>
            </w:r>
            <w:r w:rsidRPr="00BF4A3E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F4A3E">
              <w:rPr>
                <w:rStyle w:val="spell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Institucion</w:t>
            </w:r>
            <w:r w:rsidRPr="00BF4A3E">
              <w:rPr>
                <w:rStyle w:val="spell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al</w:t>
            </w:r>
            <w:r w:rsidRPr="00BF4A3E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La Reforma,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al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Ministro de Justicia y Paz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y al Ministro de Hacienda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, o a quienes ejerzan los cargos, que dentro de un plazo de SIETE MESES, 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adopten las medidas necesarias, dentro del ámbito de sus competencias, para eliminar el hacinamiento crítico que aqueja a los privados </w:t>
            </w:r>
            <w:r w:rsidRPr="00BF4A3E">
              <w:rPr>
                <w:rStyle w:val="apple-converted-space"/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de libertad que se encuentran en</w:t>
            </w:r>
            <w:r w:rsidRPr="00BF4A3E">
              <w:rPr>
                <w:rStyle w:val="apple-converted-space"/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 xml:space="preserve"> 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el Ámbito C del Centro de Atención Institucional</w:t>
            </w:r>
            <w:r w:rsidRPr="00BF4A3E">
              <w:rPr>
                <w:rStyle w:val="apple-converted-space"/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La Reforma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E3B62" w:rsidRPr="00BF4A3E" w:rsidRDefault="004E3B62" w:rsidP="004E3B62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sz w:val="20"/>
                <w:szCs w:val="20"/>
              </w:rPr>
              <w:lastRenderedPageBreak/>
              <w:t>Finalmente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ordena a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Ministerio d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 Hacienda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no efectuar recortes en el presupuesto de</w:t>
            </w:r>
            <w:r w:rsidRPr="00BF4A3E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sz w:val="20"/>
                <w:szCs w:val="20"/>
              </w:rPr>
              <w:t>la Dirección General</w:t>
            </w:r>
            <w:r w:rsidRPr="00BF4A3E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 Adaptación Social hasta tanto no se brinde una solución efectiva al problema de hacinamiento crítico que existe en el Ámbito C del Centro de Atención Institucional</w:t>
            </w:r>
            <w:r w:rsidRPr="00BF4A3E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sz w:val="20"/>
                <w:szCs w:val="20"/>
              </w:rPr>
              <w:t>La Reforma.</w:t>
            </w:r>
          </w:p>
        </w:tc>
      </w:tr>
      <w:tr w:rsidR="004E3B62" w:rsidRPr="00BF4A3E" w:rsidTr="004E3B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pacing w:val="-5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pacing w:val="-5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pacing w:val="-5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pacing w:val="-5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pacing w:val="-5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pacing w:val="-5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pacing w:val="-5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pacing w:val="-5"/>
                <w:sz w:val="20"/>
                <w:szCs w:val="20"/>
                <w:shd w:val="clear" w:color="auto" w:fill="FFFFFF"/>
              </w:rPr>
              <w:t>2013-012464</w:t>
            </w:r>
            <w:r w:rsidRPr="00BF4A3E">
              <w:rPr>
                <w:rFonts w:ascii="Arial" w:hAnsi="Arial" w:cs="Arial"/>
                <w:b w:val="0"/>
                <w:color w:val="000000"/>
                <w:spacing w:val="-5"/>
                <w:sz w:val="20"/>
                <w:szCs w:val="20"/>
                <w:shd w:val="clear" w:color="auto" w:fill="FFFFFF"/>
              </w:rPr>
              <w:t xml:space="preserve"> del </w:t>
            </w:r>
            <w:r w:rsidRPr="00BF4A3E"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  <w:t>27 de setiembre, 2013</w:t>
            </w:r>
          </w:p>
        </w:tc>
        <w:tc>
          <w:tcPr>
            <w:tcW w:w="1701" w:type="dxa"/>
          </w:tcPr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CAI Cartago</w:t>
            </w:r>
          </w:p>
        </w:tc>
        <w:tc>
          <w:tcPr>
            <w:tcW w:w="5245" w:type="dxa"/>
          </w:tcPr>
          <w:p w:rsidR="004E3B62" w:rsidRPr="00BF4A3E" w:rsidRDefault="004E3B62" w:rsidP="004E3B62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Declara parcialmente con lugar el recurso por las condiciones de hacinamiento del CAI de Cartago y condena al director del Centro de Atención Institucional de Cartago y a la entonces viceministra de Asuntos Penitenciarios, o a quienes ocupen tales cargos, 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que procedan a girar las órdenes que estén dentro del ámbito de  sus   competencias  para   que   adopten   inmediatamente   las medidas pertinentes para eliminar el hacinamiento crítico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en el Centro de Atención Institucional de Cartago, hasta llegar a su capacidad real.</w:t>
            </w:r>
          </w:p>
        </w:tc>
      </w:tr>
      <w:tr w:rsidR="004E3B62" w:rsidRPr="00BF4A3E" w:rsidTr="004E3B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  <w:t>2014-018911 del 21 de noviembre del 2014</w:t>
            </w:r>
          </w:p>
        </w:tc>
        <w:tc>
          <w:tcPr>
            <w:tcW w:w="1701" w:type="dxa"/>
          </w:tcPr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vertAlign w:val="subscript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CAI Gerardo Rodríguez</w:t>
            </w:r>
          </w:p>
        </w:tc>
        <w:tc>
          <w:tcPr>
            <w:tcW w:w="5245" w:type="dxa"/>
          </w:tcPr>
          <w:p w:rsidR="004E3B62" w:rsidRPr="00BF4A3E" w:rsidRDefault="004E3B62" w:rsidP="004E3B62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Se ordena eliminar, en el plazo de un año, el hacinamiento crítico en el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Centro de Atención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nstitucional Dr. Gerardo Rodríguez</w:t>
            </w:r>
            <w:r w:rsidRPr="00BF4A3E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F4A3E">
              <w:rPr>
                <w:rStyle w:val="spell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Echeverría</w:t>
            </w:r>
            <w:r w:rsidRPr="00BF4A3E">
              <w:rPr>
                <w:rStyle w:val="spell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BF4A3E">
              <w:rPr>
                <w:rStyle w:val="spelle"/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El plazo vencerá el 3 de diciembre del 2015</w:t>
            </w:r>
            <w:r w:rsidRPr="00BF4A3E">
              <w:rPr>
                <w:rStyle w:val="spell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4E3B62" w:rsidRPr="00BF4A3E" w:rsidTr="004E3B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  <w:t>2015-008542 del 12 de junio, 2015</w:t>
            </w:r>
          </w:p>
        </w:tc>
        <w:tc>
          <w:tcPr>
            <w:tcW w:w="1701" w:type="dxa"/>
          </w:tcPr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  <w:t>CAI Gerardo Rodríguez</w:t>
            </w:r>
          </w:p>
        </w:tc>
        <w:tc>
          <w:tcPr>
            <w:tcW w:w="5245" w:type="dxa"/>
          </w:tcPr>
          <w:p w:rsidR="004E3B62" w:rsidRPr="00BF4A3E" w:rsidRDefault="004E3B62" w:rsidP="004E3B62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Se declara con lugar el recurso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por hacinamiento y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e ordena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al Ministerio de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Justicia y Paz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mantener separada a la población indiciada de la sentenciada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en el ámbito de indiciados del Centro de Atención Institucional Dr.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Gerardo Rodríguez Echeverría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y cumplir con la resolución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2014018911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del 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21 de noviembre de 2014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4E3B62" w:rsidRPr="00BF4A3E" w:rsidTr="004E3B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  <w:t>2015-009450 del 26 de junio, 2015</w:t>
            </w:r>
          </w:p>
        </w:tc>
        <w:tc>
          <w:tcPr>
            <w:tcW w:w="1701" w:type="dxa"/>
          </w:tcPr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vertAlign w:val="subscript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vertAlign w:val="subscript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vertAlign w:val="subscript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vertAlign w:val="subscript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vertAlign w:val="subscript"/>
              </w:rPr>
            </w:pPr>
            <w:r w:rsidRPr="00BF4A3E"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  <w:t>CAI San José</w:t>
            </w:r>
          </w:p>
        </w:tc>
        <w:tc>
          <w:tcPr>
            <w:tcW w:w="5245" w:type="dxa"/>
          </w:tcPr>
          <w:p w:rsidR="004E3B62" w:rsidRPr="00BF4A3E" w:rsidRDefault="004E3B62" w:rsidP="004E3B62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Se declara con lugar el recurso. Se ordena a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</w:t>
            </w:r>
            <w:r w:rsidRPr="00BF4A3E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Direct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or General de Adaptación Social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y a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</w:t>
            </w:r>
            <w:r w:rsidRPr="00BF4A3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Director del Centro de Atención Institucional de San José, 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que de FORMA INMEDIATA a la notificación de esta sentencia, tomen las medidas pertinentes y elaboren un plan de mitigación para eliminar el hacinamiento en el Centro de Atención Institucional de San José</w:t>
            </w:r>
            <w:r w:rsidRPr="00BF4A3E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4E3B62" w:rsidRPr="00BF4A3E" w:rsidTr="004E3B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2015-016435 del </w:t>
            </w:r>
            <w:r w:rsidRPr="00BF4A3E"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  <w:t>23 de octubre del 2015</w:t>
            </w:r>
          </w:p>
        </w:tc>
        <w:tc>
          <w:tcPr>
            <w:tcW w:w="1701" w:type="dxa"/>
          </w:tcPr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</w:pPr>
          </w:p>
          <w:p w:rsidR="004E3B62" w:rsidRPr="00BF4A3E" w:rsidRDefault="004E3B62" w:rsidP="004E3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vertAlign w:val="subscript"/>
              </w:rPr>
            </w:pPr>
            <w:r w:rsidRPr="00BF4A3E">
              <w:rPr>
                <w:rFonts w:ascii="Arial" w:hAnsi="Arial" w:cs="Arial"/>
                <w:color w:val="000000"/>
                <w:spacing w:val="-4"/>
                <w:sz w:val="20"/>
                <w:szCs w:val="20"/>
                <w:shd w:val="clear" w:color="auto" w:fill="FFFFFF"/>
              </w:rPr>
              <w:t>CAI San José</w:t>
            </w:r>
          </w:p>
        </w:tc>
        <w:tc>
          <w:tcPr>
            <w:tcW w:w="5245" w:type="dxa"/>
          </w:tcPr>
          <w:p w:rsidR="004E3B62" w:rsidRPr="00BF4A3E" w:rsidRDefault="004E3B62" w:rsidP="00BF4A3E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color w:val="222222"/>
                <w:shd w:val="clear" w:color="auto" w:fill="FFFFFF"/>
              </w:rPr>
              <w:t>Se ordena a LUIS MARIANO BARRANTES ANGULO en calidad de Director del Centro de Atención Institucional de San José, a REYNALDO VILLALOBOS ZÚÑIGA en su calidad de Director General de Adaptación Social y a</w:t>
            </w:r>
            <w:r w:rsidRPr="00BF4A3E">
              <w:rPr>
                <w:rStyle w:val="apple-converted-space"/>
                <w:rFonts w:ascii="Arial" w:hAnsi="Arial" w:cs="Arial"/>
                <w:color w:val="222222"/>
                <w:shd w:val="clear" w:color="auto" w:fill="FFFFFF"/>
              </w:rPr>
              <w:t> </w:t>
            </w:r>
            <w:r w:rsidRPr="00BF4A3E">
              <w:rPr>
                <w:rStyle w:val="il"/>
                <w:rFonts w:ascii="Arial" w:hAnsi="Arial" w:cs="Arial"/>
                <w:color w:val="222222"/>
                <w:shd w:val="clear" w:color="auto" w:fill="FFFFFF"/>
              </w:rPr>
              <w:t>MARCO</w:t>
            </w:r>
            <w:r w:rsidRPr="00BF4A3E">
              <w:rPr>
                <w:rStyle w:val="apple-converted-space"/>
                <w:rFonts w:ascii="Arial" w:hAnsi="Arial" w:cs="Arial"/>
                <w:color w:val="222222"/>
                <w:shd w:val="clear" w:color="auto" w:fill="FFFFFF"/>
              </w:rPr>
              <w:t> </w:t>
            </w:r>
            <w:r w:rsidRPr="00BF4A3E">
              <w:rPr>
                <w:rStyle w:val="il"/>
                <w:rFonts w:ascii="Arial" w:hAnsi="Arial" w:cs="Arial"/>
                <w:color w:val="222222"/>
                <w:shd w:val="clear" w:color="auto" w:fill="FFFFFF"/>
              </w:rPr>
              <w:t>FEOLI</w:t>
            </w:r>
            <w:r w:rsidRPr="00BF4A3E">
              <w:rPr>
                <w:rStyle w:val="apple-converted-space"/>
                <w:rFonts w:ascii="Arial" w:hAnsi="Arial" w:cs="Arial"/>
                <w:color w:val="222222"/>
                <w:shd w:val="clear" w:color="auto" w:fill="FFFFFF"/>
              </w:rPr>
              <w:t> </w:t>
            </w:r>
            <w:r w:rsidRPr="00BF4A3E">
              <w:rPr>
                <w:rFonts w:ascii="Arial" w:hAnsi="Arial" w:cs="Arial"/>
                <w:color w:val="222222"/>
                <w:shd w:val="clear" w:color="auto" w:fill="FFFFFF"/>
              </w:rPr>
              <w:t xml:space="preserve">VILLALOBOS en calidad de Viceministro de Justicia y Paz o, a quienes ocupen esos cargos, que </w:t>
            </w:r>
            <w:r w:rsidRPr="00BF4A3E">
              <w:rPr>
                <w:rFonts w:ascii="Arial" w:hAnsi="Arial" w:cs="Arial"/>
                <w:b/>
                <w:color w:val="222222"/>
                <w:u w:val="single"/>
                <w:shd w:val="clear" w:color="auto" w:fill="FFFFFF"/>
              </w:rPr>
              <w:t>procedan a girar las órdenes que estén dentro del ámbito de sus competencias para que adopten en las medidas pertinentes para eliminar el hacinamiento crítico</w:t>
            </w:r>
            <w:r w:rsidRPr="00BF4A3E">
              <w:rPr>
                <w:rFonts w:ascii="Arial" w:hAnsi="Arial" w:cs="Arial"/>
                <w:color w:val="222222"/>
                <w:shd w:val="clear" w:color="auto" w:fill="FFFFFF"/>
              </w:rPr>
              <w:t xml:space="preserve"> en el Centro de Atención Institucional de San José, en el plazo señalado en la resolución número 2015-005641 de las 9:05 </w:t>
            </w:r>
            <w:r w:rsidR="00BF4A3E" w:rsidRPr="00BF4A3E">
              <w:rPr>
                <w:rFonts w:ascii="Arial" w:hAnsi="Arial" w:cs="Arial"/>
                <w:color w:val="222222"/>
                <w:shd w:val="clear" w:color="auto" w:fill="FFFFFF"/>
              </w:rPr>
              <w:t>horas</w:t>
            </w:r>
            <w:r w:rsidRPr="00BF4A3E">
              <w:rPr>
                <w:rFonts w:ascii="Arial" w:hAnsi="Arial" w:cs="Arial"/>
                <w:color w:val="222222"/>
                <w:shd w:val="clear" w:color="auto" w:fill="FFFFFF"/>
              </w:rPr>
              <w:t xml:space="preserve"> del 24 de abril de 2015, hasta llegar a su capacidad real.</w:t>
            </w:r>
          </w:p>
        </w:tc>
      </w:tr>
    </w:tbl>
    <w:p w:rsidR="00A81A44" w:rsidRDefault="00A81A44" w:rsidP="004E3B62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DA13F5" w:rsidRDefault="00DA13F5" w:rsidP="004E3B62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DA13F5" w:rsidRDefault="00DA13F5" w:rsidP="004E3B62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DA13F5" w:rsidRPr="00DA13F5" w:rsidRDefault="00DA13F5" w:rsidP="004E3B62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DA13F5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>Otras resoluciones de los Juzgados de Ejecución de la Pena</w:t>
      </w:r>
    </w:p>
    <w:p w:rsidR="00DA13F5" w:rsidRDefault="00DA13F5" w:rsidP="004E3B62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tbl>
      <w:tblPr>
        <w:tblStyle w:val="Tabladecuadrcula1clara-nfasis3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1701"/>
        <w:gridCol w:w="5245"/>
      </w:tblGrid>
      <w:tr w:rsidR="00DA13F5" w:rsidRPr="00BF4A3E" w:rsidTr="007D7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DA13F5" w:rsidRPr="00BF4A3E" w:rsidRDefault="00DA13F5" w:rsidP="00DA13F5">
            <w:pPr>
              <w:jc w:val="center"/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  <w:t>Resolución</w:t>
            </w:r>
            <w:r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  <w:t xml:space="preserve"> y </w:t>
            </w:r>
            <w:r w:rsidRPr="00BF4A3E"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  <w:t>fecha</w:t>
            </w:r>
          </w:p>
        </w:tc>
        <w:tc>
          <w:tcPr>
            <w:tcW w:w="1701" w:type="dxa"/>
          </w:tcPr>
          <w:p w:rsidR="00DA13F5" w:rsidRPr="00BF4A3E" w:rsidRDefault="00DA13F5" w:rsidP="007D7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  <w:t>Juzgado</w:t>
            </w:r>
          </w:p>
        </w:tc>
        <w:tc>
          <w:tcPr>
            <w:tcW w:w="5245" w:type="dxa"/>
          </w:tcPr>
          <w:p w:rsidR="00DA13F5" w:rsidRPr="00BF4A3E" w:rsidRDefault="00DA13F5" w:rsidP="007D7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</w:pPr>
            <w:r w:rsidRPr="00BF4A3E">
              <w:rPr>
                <w:rFonts w:ascii="Arial" w:hAnsi="Arial" w:cs="Arial"/>
                <w:b w:val="0"/>
                <w:color w:val="000000"/>
                <w:sz w:val="28"/>
                <w:szCs w:val="20"/>
                <w:shd w:val="clear" w:color="auto" w:fill="FFFFFF"/>
              </w:rPr>
              <w:t>Por tanto</w:t>
            </w:r>
          </w:p>
        </w:tc>
      </w:tr>
      <w:tr w:rsidR="00DA13F5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DA13F5" w:rsidRPr="00DA13F5" w:rsidRDefault="00DA13F5" w:rsidP="007D7103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</w:p>
          <w:p w:rsidR="00DA13F5" w:rsidRPr="00DA13F5" w:rsidRDefault="00DA13F5" w:rsidP="00DA13F5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10 horas del 30 de abril del 2014</w:t>
            </w:r>
          </w:p>
        </w:tc>
        <w:tc>
          <w:tcPr>
            <w:tcW w:w="1701" w:type="dxa"/>
          </w:tcPr>
          <w:p w:rsidR="00DA13F5" w:rsidRPr="00DA13F5" w:rsidRDefault="00DA13F5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DA13F5" w:rsidRPr="00DA13F5" w:rsidRDefault="00DA13F5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Juzgado de Ejecución de la Pena de San José</w:t>
            </w:r>
          </w:p>
        </w:tc>
        <w:tc>
          <w:tcPr>
            <w:tcW w:w="5245" w:type="dxa"/>
            <w:vMerge w:val="restart"/>
          </w:tcPr>
          <w:p w:rsidR="00DA13F5" w:rsidRPr="00DA13F5" w:rsidRDefault="00DA13F5" w:rsidP="00DA13F5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Todas son referentes a la aplicación de egresos para reducir el problema del hacinamiento crítico y asegurar el respeto de los derechos fundamentales de las personas privadas de libertad.</w:t>
            </w:r>
          </w:p>
        </w:tc>
      </w:tr>
      <w:tr w:rsidR="00DA13F5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DA13F5" w:rsidRPr="00DA13F5" w:rsidRDefault="00DA13F5" w:rsidP="00DA13F5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10 horas del 16 de diciembre del 2014</w:t>
            </w:r>
          </w:p>
        </w:tc>
        <w:tc>
          <w:tcPr>
            <w:tcW w:w="1701" w:type="dxa"/>
          </w:tcPr>
          <w:p w:rsidR="00DA13F5" w:rsidRPr="00DA13F5" w:rsidRDefault="00DA13F5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Juzgado de Ejecución de la Pena de Puntarenas</w:t>
            </w:r>
          </w:p>
        </w:tc>
        <w:tc>
          <w:tcPr>
            <w:tcW w:w="5245" w:type="dxa"/>
            <w:vMerge/>
          </w:tcPr>
          <w:p w:rsidR="00DA13F5" w:rsidRPr="00DA13F5" w:rsidRDefault="00DA13F5" w:rsidP="007D7103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A13F5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DA13F5" w:rsidRPr="00DA13F5" w:rsidRDefault="00DA13F5" w:rsidP="00DA13F5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14:20 horas del 20 de febrero del 2015</w:t>
            </w:r>
          </w:p>
        </w:tc>
        <w:tc>
          <w:tcPr>
            <w:tcW w:w="1701" w:type="dxa"/>
          </w:tcPr>
          <w:p w:rsidR="00DA13F5" w:rsidRDefault="00DA13F5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Juzgado de Ejecución de la Pena de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Alajuela</w:t>
            </w:r>
          </w:p>
        </w:tc>
        <w:tc>
          <w:tcPr>
            <w:tcW w:w="5245" w:type="dxa"/>
            <w:vMerge/>
          </w:tcPr>
          <w:p w:rsidR="00DA13F5" w:rsidRPr="00DA13F5" w:rsidRDefault="00DA13F5" w:rsidP="007D7103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A13F5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DA13F5" w:rsidRPr="00DA13F5" w:rsidRDefault="00DA13F5" w:rsidP="00DA13F5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8 horas del 18 de febrero del 2013</w:t>
            </w:r>
          </w:p>
        </w:tc>
        <w:tc>
          <w:tcPr>
            <w:tcW w:w="1701" w:type="dxa"/>
          </w:tcPr>
          <w:p w:rsidR="00DA13F5" w:rsidRPr="00DA13F5" w:rsidRDefault="00DA13F5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Juzgado de Ejecución de la Pena de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Guápiles</w:t>
            </w:r>
          </w:p>
        </w:tc>
        <w:tc>
          <w:tcPr>
            <w:tcW w:w="5245" w:type="dxa"/>
          </w:tcPr>
          <w:p w:rsidR="00DA13F5" w:rsidRPr="00DA13F5" w:rsidRDefault="00DA13F5" w:rsidP="007D7103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bookmarkStart w:id="0" w:name="_GoBack"/>
            <w:r w:rsidRPr="001576AF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Ordenó el no ingreso</w:t>
            </w:r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al Centro de Atención Institucional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Pococí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de más personas privadas de libertad indiciadas o sentenciadas. </w:t>
            </w:r>
          </w:p>
        </w:tc>
      </w:tr>
      <w:tr w:rsidR="00DA13F5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DA13F5" w:rsidRPr="00DA13F5" w:rsidRDefault="00DA13F5" w:rsidP="00DA13F5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9:10 horas del 24 de julio del 2014</w:t>
            </w:r>
          </w:p>
        </w:tc>
        <w:tc>
          <w:tcPr>
            <w:tcW w:w="1701" w:type="dxa"/>
          </w:tcPr>
          <w:p w:rsidR="00DA13F5" w:rsidRPr="00DA13F5" w:rsidRDefault="00DA13F5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Juzgado de Ejecución de la Pena de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Guápiles</w:t>
            </w:r>
          </w:p>
        </w:tc>
        <w:tc>
          <w:tcPr>
            <w:tcW w:w="5245" w:type="dxa"/>
          </w:tcPr>
          <w:p w:rsidR="00DA13F5" w:rsidRDefault="00DA13F5" w:rsidP="007D7103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Este despacho reiteró la prohibición y ordenó que en el plazo de OCHO MESES </w:t>
            </w:r>
            <w:r w:rsidRPr="001576AF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se reduzca la sobrepoblación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al veinte por ciento.</w:t>
            </w:r>
          </w:p>
        </w:tc>
      </w:tr>
      <w:tr w:rsidR="00DA13F5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DA13F5" w:rsidRPr="00DA13F5" w:rsidRDefault="00DA13F5" w:rsidP="00DA13F5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N.° 1375-13</w:t>
            </w:r>
          </w:p>
          <w:p w:rsidR="00DA13F5" w:rsidRPr="00DA13F5" w:rsidRDefault="00DA13F5" w:rsidP="00DA13F5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9:10 horas del 31 de mayo del 2013</w:t>
            </w:r>
          </w:p>
        </w:tc>
        <w:tc>
          <w:tcPr>
            <w:tcW w:w="1701" w:type="dxa"/>
          </w:tcPr>
          <w:p w:rsidR="00DA13F5" w:rsidRPr="00DA13F5" w:rsidRDefault="00DA13F5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Juzgado de Ejecución de la Pena de Alajuela</w:t>
            </w:r>
          </w:p>
        </w:tc>
        <w:tc>
          <w:tcPr>
            <w:tcW w:w="5245" w:type="dxa"/>
          </w:tcPr>
          <w:p w:rsidR="00DA13F5" w:rsidRDefault="00DA13F5" w:rsidP="00DA13F5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A13F5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Ordenó el cierre técnico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de ingreso de privados de libertad al CAI Gerardo Rodríguez Echeverría, orden que fue ratificada por la misma autoridad en su resolución de las nueve horas y veintisiete minutos del 18 de julio del 2013. </w:t>
            </w:r>
          </w:p>
        </w:tc>
      </w:tr>
      <w:tr w:rsidR="00DA13F5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DA13F5" w:rsidRPr="00DA13F5" w:rsidRDefault="00DA13F5" w:rsidP="00DA13F5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N.° 401-13</w:t>
            </w:r>
            <w:r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br/>
              <w:t>16 horas del 3 de setiembre del 2013</w:t>
            </w:r>
          </w:p>
        </w:tc>
        <w:tc>
          <w:tcPr>
            <w:tcW w:w="1701" w:type="dxa"/>
          </w:tcPr>
          <w:p w:rsidR="00DA13F5" w:rsidRDefault="00DA13F5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Juzgado de Ejecución de la Pena de Guanacaste</w:t>
            </w:r>
          </w:p>
        </w:tc>
        <w:tc>
          <w:tcPr>
            <w:tcW w:w="5245" w:type="dxa"/>
          </w:tcPr>
          <w:p w:rsidR="00DA13F5" w:rsidRPr="001576AF" w:rsidRDefault="001576AF" w:rsidP="00DA13F5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1576A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Dictó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la </w:t>
            </w:r>
            <w:r w:rsidRPr="001576AF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medida correctiva que ordenó no admitir en el Centro de Atención Institucional Calle Real, de personas privadas de libertad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provenientes de jurisdicciones ajenas a la provincia de Guanacaste.</w:t>
            </w:r>
          </w:p>
        </w:tc>
      </w:tr>
      <w:tr w:rsidR="001576AF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1576AF" w:rsidRDefault="001576AF" w:rsidP="001576AF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lastRenderedPageBreak/>
              <w:t>26 de setiembre del 2013</w:t>
            </w:r>
          </w:p>
        </w:tc>
        <w:tc>
          <w:tcPr>
            <w:tcW w:w="1701" w:type="dxa"/>
          </w:tcPr>
          <w:p w:rsidR="001576AF" w:rsidRDefault="001576AF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Juzgado de Ejecución de la Pena de Limón</w:t>
            </w:r>
          </w:p>
        </w:tc>
        <w:tc>
          <w:tcPr>
            <w:tcW w:w="5245" w:type="dxa"/>
          </w:tcPr>
          <w:p w:rsidR="001576AF" w:rsidRPr="001576AF" w:rsidRDefault="001576AF" w:rsidP="001576AF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Dictó la medida correctiva en la cual </w:t>
            </w:r>
            <w:r w:rsidRPr="001576AF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ordena el cierre inmediato e indefinido del CAI Limón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hasta que los niveles de sobrepoblación disminuyan.</w:t>
            </w:r>
          </w:p>
        </w:tc>
      </w:tr>
      <w:tr w:rsidR="001576AF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1576AF" w:rsidRDefault="001576AF" w:rsidP="001576AF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N.° 105-13</w:t>
            </w:r>
            <w:r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br/>
              <w:t>10:30 horas del 9 de setiembre del 2013</w:t>
            </w:r>
          </w:p>
        </w:tc>
        <w:tc>
          <w:tcPr>
            <w:tcW w:w="1701" w:type="dxa"/>
          </w:tcPr>
          <w:p w:rsidR="001576AF" w:rsidRDefault="001576AF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Juzgado de Ejecución de la Pena de Cartago</w:t>
            </w:r>
          </w:p>
        </w:tc>
        <w:tc>
          <w:tcPr>
            <w:tcW w:w="5245" w:type="dxa"/>
          </w:tcPr>
          <w:p w:rsidR="001576AF" w:rsidRDefault="001576AF" w:rsidP="001576AF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Emitió </w:t>
            </w:r>
            <w:r w:rsidRPr="001576AF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medida correctiva para mantener prohibición de ingreso de privados de libertad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al CAI Pérez Zeledón mientras persista el hacinamiento.</w:t>
            </w:r>
          </w:p>
        </w:tc>
      </w:tr>
      <w:tr w:rsidR="001576AF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1576AF" w:rsidRDefault="001576AF" w:rsidP="001576AF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30 de abril del 2014</w:t>
            </w:r>
          </w:p>
        </w:tc>
        <w:tc>
          <w:tcPr>
            <w:tcW w:w="1701" w:type="dxa"/>
          </w:tcPr>
          <w:p w:rsidR="001576AF" w:rsidRDefault="001576AF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Juzgado de Ejecución de la Pena de San José</w:t>
            </w:r>
          </w:p>
        </w:tc>
        <w:tc>
          <w:tcPr>
            <w:tcW w:w="5245" w:type="dxa"/>
          </w:tcPr>
          <w:p w:rsidR="001576AF" w:rsidRDefault="001576AF" w:rsidP="001576AF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Medida correctiva que ordenó prohibir el ingreso de más privados de libertad, así como: “</w:t>
            </w:r>
            <w:r w:rsidRPr="001576AF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Diseñar una estrategia en el plazo de dos meses –sistema de cuotas– para el control de la población penal que asegure mientras exista hacinamiento carcelario el número de egresos o traslados a nuevos espacios carcelarios mensuales nunca sea inferior a los ingresos mensuales de población penal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”.</w:t>
            </w:r>
          </w:p>
        </w:tc>
      </w:tr>
      <w:tr w:rsidR="001576AF" w:rsidRPr="00DA13F5" w:rsidTr="007D710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1576AF" w:rsidRDefault="001576AF" w:rsidP="001576AF">
            <w:pPr>
              <w:jc w:val="center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22 de julio del 2014</w:t>
            </w:r>
          </w:p>
        </w:tc>
        <w:tc>
          <w:tcPr>
            <w:tcW w:w="1701" w:type="dxa"/>
          </w:tcPr>
          <w:p w:rsidR="001576AF" w:rsidRDefault="001576AF" w:rsidP="00DA13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Juzgado de Ejecución de la Pena de Alajuela</w:t>
            </w:r>
          </w:p>
        </w:tc>
        <w:tc>
          <w:tcPr>
            <w:tcW w:w="5245" w:type="dxa"/>
          </w:tcPr>
          <w:p w:rsidR="001576AF" w:rsidRDefault="001576AF" w:rsidP="001576AF">
            <w:pPr>
              <w:shd w:val="clear" w:color="auto" w:fill="FFFFFF"/>
              <w:spacing w:before="100" w:beforeAutospacing="1" w:after="100" w:afterAutospacing="1" w:line="48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Ordenó el cierre inmediato del CAI San Rafael, </w:t>
            </w:r>
            <w:r w:rsidRPr="001576AF">
              <w:rPr>
                <w:rFonts w:ascii="Arial" w:hAnsi="Arial" w:cs="Arial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  <w:t>prohibiendo nuevos ingresos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y ordenando reducir a un veinte por ciento su población antes del 29 de enero del 2015.</w:t>
            </w:r>
          </w:p>
        </w:tc>
      </w:tr>
    </w:tbl>
    <w:p w:rsidR="00DA13F5" w:rsidRPr="00DA13F5" w:rsidRDefault="00DA13F5" w:rsidP="004E3B62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sectPr w:rsidR="00DA13F5" w:rsidRPr="00DA13F5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54E" w:rsidRDefault="0041654E" w:rsidP="00BF4A3E">
      <w:pPr>
        <w:spacing w:after="0" w:line="240" w:lineRule="auto"/>
      </w:pPr>
      <w:r>
        <w:separator/>
      </w:r>
    </w:p>
  </w:endnote>
  <w:endnote w:type="continuationSeparator" w:id="0">
    <w:p w:rsidR="0041654E" w:rsidRDefault="0041654E" w:rsidP="00BF4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1498806"/>
      <w:docPartObj>
        <w:docPartGallery w:val="Page Numbers (Bottom of Page)"/>
        <w:docPartUnique/>
      </w:docPartObj>
    </w:sdtPr>
    <w:sdtContent>
      <w:p w:rsidR="00BF4A3E" w:rsidRDefault="00BF4A3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6AF" w:rsidRPr="001576AF">
          <w:rPr>
            <w:noProof/>
            <w:lang w:val="es-ES"/>
          </w:rPr>
          <w:t>4</w:t>
        </w:r>
        <w:r>
          <w:fldChar w:fldCharType="end"/>
        </w:r>
      </w:p>
    </w:sdtContent>
  </w:sdt>
  <w:p w:rsidR="00BF4A3E" w:rsidRDefault="00BF4A3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54E" w:rsidRDefault="0041654E" w:rsidP="00BF4A3E">
      <w:pPr>
        <w:spacing w:after="0" w:line="240" w:lineRule="auto"/>
      </w:pPr>
      <w:r>
        <w:separator/>
      </w:r>
    </w:p>
  </w:footnote>
  <w:footnote w:type="continuationSeparator" w:id="0">
    <w:p w:rsidR="0041654E" w:rsidRDefault="0041654E" w:rsidP="00BF4A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A44"/>
    <w:rsid w:val="00012751"/>
    <w:rsid w:val="00020F15"/>
    <w:rsid w:val="00023527"/>
    <w:rsid w:val="000247CE"/>
    <w:rsid w:val="00026907"/>
    <w:rsid w:val="00032D00"/>
    <w:rsid w:val="00043683"/>
    <w:rsid w:val="0005384F"/>
    <w:rsid w:val="00065A0D"/>
    <w:rsid w:val="0007684D"/>
    <w:rsid w:val="000A5A9D"/>
    <w:rsid w:val="000A618F"/>
    <w:rsid w:val="000C27A7"/>
    <w:rsid w:val="000C5F4A"/>
    <w:rsid w:val="000D4124"/>
    <w:rsid w:val="000D799B"/>
    <w:rsid w:val="000E14F3"/>
    <w:rsid w:val="001012B0"/>
    <w:rsid w:val="001029AD"/>
    <w:rsid w:val="00122797"/>
    <w:rsid w:val="00125343"/>
    <w:rsid w:val="00142955"/>
    <w:rsid w:val="00153CE6"/>
    <w:rsid w:val="001576AF"/>
    <w:rsid w:val="001666FE"/>
    <w:rsid w:val="00167FB4"/>
    <w:rsid w:val="0017167D"/>
    <w:rsid w:val="00174B86"/>
    <w:rsid w:val="001771DF"/>
    <w:rsid w:val="00182DAA"/>
    <w:rsid w:val="00184944"/>
    <w:rsid w:val="00191876"/>
    <w:rsid w:val="00191BD8"/>
    <w:rsid w:val="00192B61"/>
    <w:rsid w:val="001A120E"/>
    <w:rsid w:val="001C5BC5"/>
    <w:rsid w:val="001E0D9D"/>
    <w:rsid w:val="001E4FBB"/>
    <w:rsid w:val="00213860"/>
    <w:rsid w:val="002157C8"/>
    <w:rsid w:val="00216153"/>
    <w:rsid w:val="002218BC"/>
    <w:rsid w:val="00252409"/>
    <w:rsid w:val="00257087"/>
    <w:rsid w:val="00261913"/>
    <w:rsid w:val="00267F30"/>
    <w:rsid w:val="00284B5A"/>
    <w:rsid w:val="00285871"/>
    <w:rsid w:val="00290156"/>
    <w:rsid w:val="00296470"/>
    <w:rsid w:val="002A02F1"/>
    <w:rsid w:val="002A202D"/>
    <w:rsid w:val="002A37A2"/>
    <w:rsid w:val="002B529F"/>
    <w:rsid w:val="002C4B28"/>
    <w:rsid w:val="003041D2"/>
    <w:rsid w:val="003530CB"/>
    <w:rsid w:val="00356B49"/>
    <w:rsid w:val="00360104"/>
    <w:rsid w:val="00364EEF"/>
    <w:rsid w:val="003760CD"/>
    <w:rsid w:val="00381AE2"/>
    <w:rsid w:val="00385D03"/>
    <w:rsid w:val="00390AD6"/>
    <w:rsid w:val="00397C63"/>
    <w:rsid w:val="003B7669"/>
    <w:rsid w:val="003E1DDD"/>
    <w:rsid w:val="003E449F"/>
    <w:rsid w:val="003E5CFF"/>
    <w:rsid w:val="003E63AE"/>
    <w:rsid w:val="003E7108"/>
    <w:rsid w:val="003F2BA1"/>
    <w:rsid w:val="0040336B"/>
    <w:rsid w:val="0041654E"/>
    <w:rsid w:val="0043474C"/>
    <w:rsid w:val="00440EF4"/>
    <w:rsid w:val="0045318F"/>
    <w:rsid w:val="004558FD"/>
    <w:rsid w:val="00456104"/>
    <w:rsid w:val="00456598"/>
    <w:rsid w:val="00474B06"/>
    <w:rsid w:val="00477743"/>
    <w:rsid w:val="004A4C9A"/>
    <w:rsid w:val="004B5D70"/>
    <w:rsid w:val="004D3DF1"/>
    <w:rsid w:val="004D65BE"/>
    <w:rsid w:val="004D73F7"/>
    <w:rsid w:val="004E3B62"/>
    <w:rsid w:val="004F1248"/>
    <w:rsid w:val="004F5BCF"/>
    <w:rsid w:val="004F632A"/>
    <w:rsid w:val="004F7CDB"/>
    <w:rsid w:val="0050069A"/>
    <w:rsid w:val="00507317"/>
    <w:rsid w:val="0051102D"/>
    <w:rsid w:val="00525E73"/>
    <w:rsid w:val="005412AE"/>
    <w:rsid w:val="00541982"/>
    <w:rsid w:val="005469E0"/>
    <w:rsid w:val="0054785E"/>
    <w:rsid w:val="00580436"/>
    <w:rsid w:val="00582A4D"/>
    <w:rsid w:val="005971A6"/>
    <w:rsid w:val="005A5219"/>
    <w:rsid w:val="005C0689"/>
    <w:rsid w:val="005C0B3A"/>
    <w:rsid w:val="005C7703"/>
    <w:rsid w:val="005E53DC"/>
    <w:rsid w:val="005F24E9"/>
    <w:rsid w:val="005F51ED"/>
    <w:rsid w:val="005F70D4"/>
    <w:rsid w:val="00622098"/>
    <w:rsid w:val="006253CC"/>
    <w:rsid w:val="00650D64"/>
    <w:rsid w:val="00653829"/>
    <w:rsid w:val="00666442"/>
    <w:rsid w:val="00680445"/>
    <w:rsid w:val="006865D7"/>
    <w:rsid w:val="00691CCC"/>
    <w:rsid w:val="006A00DA"/>
    <w:rsid w:val="006A017E"/>
    <w:rsid w:val="006A4224"/>
    <w:rsid w:val="006A5119"/>
    <w:rsid w:val="006B0C9B"/>
    <w:rsid w:val="006E1603"/>
    <w:rsid w:val="006E2A53"/>
    <w:rsid w:val="006E50ED"/>
    <w:rsid w:val="0070205B"/>
    <w:rsid w:val="00727BC1"/>
    <w:rsid w:val="00733B87"/>
    <w:rsid w:val="00757695"/>
    <w:rsid w:val="007622C0"/>
    <w:rsid w:val="0077472D"/>
    <w:rsid w:val="00774E80"/>
    <w:rsid w:val="007804FF"/>
    <w:rsid w:val="007809E1"/>
    <w:rsid w:val="007860AA"/>
    <w:rsid w:val="0079464E"/>
    <w:rsid w:val="0079615B"/>
    <w:rsid w:val="007B535D"/>
    <w:rsid w:val="007D68A6"/>
    <w:rsid w:val="007E3D65"/>
    <w:rsid w:val="007E754D"/>
    <w:rsid w:val="007F2CED"/>
    <w:rsid w:val="007F5687"/>
    <w:rsid w:val="00802EBA"/>
    <w:rsid w:val="00806E42"/>
    <w:rsid w:val="00807A3D"/>
    <w:rsid w:val="0081484C"/>
    <w:rsid w:val="00826B56"/>
    <w:rsid w:val="00826D00"/>
    <w:rsid w:val="00833FBA"/>
    <w:rsid w:val="00855B19"/>
    <w:rsid w:val="0086179A"/>
    <w:rsid w:val="00864590"/>
    <w:rsid w:val="00865778"/>
    <w:rsid w:val="008821FE"/>
    <w:rsid w:val="00883AAA"/>
    <w:rsid w:val="0088599C"/>
    <w:rsid w:val="008864DB"/>
    <w:rsid w:val="0088742F"/>
    <w:rsid w:val="00890E21"/>
    <w:rsid w:val="00894B67"/>
    <w:rsid w:val="008A373D"/>
    <w:rsid w:val="008B0FA3"/>
    <w:rsid w:val="008D18F3"/>
    <w:rsid w:val="008D68E2"/>
    <w:rsid w:val="008E4063"/>
    <w:rsid w:val="008F275C"/>
    <w:rsid w:val="0090546C"/>
    <w:rsid w:val="00906F62"/>
    <w:rsid w:val="009133D2"/>
    <w:rsid w:val="0094592D"/>
    <w:rsid w:val="009518EA"/>
    <w:rsid w:val="0095595E"/>
    <w:rsid w:val="00993D4F"/>
    <w:rsid w:val="009A7408"/>
    <w:rsid w:val="009A7A0F"/>
    <w:rsid w:val="009B05DC"/>
    <w:rsid w:val="009B435F"/>
    <w:rsid w:val="009D69EF"/>
    <w:rsid w:val="009F2C66"/>
    <w:rsid w:val="009F3326"/>
    <w:rsid w:val="009F36AF"/>
    <w:rsid w:val="009F680D"/>
    <w:rsid w:val="00A00894"/>
    <w:rsid w:val="00A405AA"/>
    <w:rsid w:val="00A6292A"/>
    <w:rsid w:val="00A75A49"/>
    <w:rsid w:val="00A81A44"/>
    <w:rsid w:val="00A84807"/>
    <w:rsid w:val="00A8654E"/>
    <w:rsid w:val="00AA00C2"/>
    <w:rsid w:val="00AA6198"/>
    <w:rsid w:val="00AB16DD"/>
    <w:rsid w:val="00AB28C3"/>
    <w:rsid w:val="00AB2E8D"/>
    <w:rsid w:val="00AC350F"/>
    <w:rsid w:val="00AC6980"/>
    <w:rsid w:val="00AC76A7"/>
    <w:rsid w:val="00AD3FF3"/>
    <w:rsid w:val="00AE0629"/>
    <w:rsid w:val="00AE1F1A"/>
    <w:rsid w:val="00AE7E21"/>
    <w:rsid w:val="00AF322E"/>
    <w:rsid w:val="00AF3DFC"/>
    <w:rsid w:val="00AF525D"/>
    <w:rsid w:val="00B001C5"/>
    <w:rsid w:val="00B00E45"/>
    <w:rsid w:val="00B054D1"/>
    <w:rsid w:val="00B133B7"/>
    <w:rsid w:val="00B2638A"/>
    <w:rsid w:val="00B60FB9"/>
    <w:rsid w:val="00B66D5E"/>
    <w:rsid w:val="00B673D6"/>
    <w:rsid w:val="00B7646D"/>
    <w:rsid w:val="00B83BCB"/>
    <w:rsid w:val="00B93419"/>
    <w:rsid w:val="00B93D6F"/>
    <w:rsid w:val="00BA6D16"/>
    <w:rsid w:val="00BB0E25"/>
    <w:rsid w:val="00BB1EF3"/>
    <w:rsid w:val="00BC4D28"/>
    <w:rsid w:val="00BC50BD"/>
    <w:rsid w:val="00BD1017"/>
    <w:rsid w:val="00BF19F8"/>
    <w:rsid w:val="00BF2F5C"/>
    <w:rsid w:val="00BF4A3E"/>
    <w:rsid w:val="00BF5B67"/>
    <w:rsid w:val="00C02551"/>
    <w:rsid w:val="00C07F8A"/>
    <w:rsid w:val="00C419BB"/>
    <w:rsid w:val="00C45897"/>
    <w:rsid w:val="00C551FD"/>
    <w:rsid w:val="00C73A2D"/>
    <w:rsid w:val="00C778A8"/>
    <w:rsid w:val="00CA32C8"/>
    <w:rsid w:val="00CA5432"/>
    <w:rsid w:val="00CC25CE"/>
    <w:rsid w:val="00CD10ED"/>
    <w:rsid w:val="00CD3B2C"/>
    <w:rsid w:val="00CE5575"/>
    <w:rsid w:val="00CE7082"/>
    <w:rsid w:val="00CE7694"/>
    <w:rsid w:val="00CF25A5"/>
    <w:rsid w:val="00CF30B0"/>
    <w:rsid w:val="00D06040"/>
    <w:rsid w:val="00D2756F"/>
    <w:rsid w:val="00D3118D"/>
    <w:rsid w:val="00D40BAD"/>
    <w:rsid w:val="00D43B88"/>
    <w:rsid w:val="00D5242C"/>
    <w:rsid w:val="00D533EC"/>
    <w:rsid w:val="00D546FE"/>
    <w:rsid w:val="00D57F1C"/>
    <w:rsid w:val="00D64D1A"/>
    <w:rsid w:val="00D71723"/>
    <w:rsid w:val="00D8104E"/>
    <w:rsid w:val="00DA13F5"/>
    <w:rsid w:val="00DB31F8"/>
    <w:rsid w:val="00DB569E"/>
    <w:rsid w:val="00DB598A"/>
    <w:rsid w:val="00DB63C7"/>
    <w:rsid w:val="00DC0865"/>
    <w:rsid w:val="00DC0D21"/>
    <w:rsid w:val="00DC35BA"/>
    <w:rsid w:val="00DE5E1C"/>
    <w:rsid w:val="00DF3785"/>
    <w:rsid w:val="00DF4671"/>
    <w:rsid w:val="00E1412B"/>
    <w:rsid w:val="00E157DC"/>
    <w:rsid w:val="00E21E87"/>
    <w:rsid w:val="00E22032"/>
    <w:rsid w:val="00E23941"/>
    <w:rsid w:val="00E246AA"/>
    <w:rsid w:val="00E33BC3"/>
    <w:rsid w:val="00E418DB"/>
    <w:rsid w:val="00E56C10"/>
    <w:rsid w:val="00E605AB"/>
    <w:rsid w:val="00E80B06"/>
    <w:rsid w:val="00E85352"/>
    <w:rsid w:val="00E861AE"/>
    <w:rsid w:val="00EA3140"/>
    <w:rsid w:val="00EA6A81"/>
    <w:rsid w:val="00EB17F1"/>
    <w:rsid w:val="00EC68C2"/>
    <w:rsid w:val="00EC6DF4"/>
    <w:rsid w:val="00ED1652"/>
    <w:rsid w:val="00ED7F00"/>
    <w:rsid w:val="00EE16CA"/>
    <w:rsid w:val="00EE1C77"/>
    <w:rsid w:val="00EE2F41"/>
    <w:rsid w:val="00EE7F29"/>
    <w:rsid w:val="00EF6487"/>
    <w:rsid w:val="00EF772A"/>
    <w:rsid w:val="00F00751"/>
    <w:rsid w:val="00F355D6"/>
    <w:rsid w:val="00F37DFC"/>
    <w:rsid w:val="00F451B5"/>
    <w:rsid w:val="00F4668C"/>
    <w:rsid w:val="00F52E36"/>
    <w:rsid w:val="00F549A6"/>
    <w:rsid w:val="00F57CE1"/>
    <w:rsid w:val="00F717A6"/>
    <w:rsid w:val="00F8564C"/>
    <w:rsid w:val="00F8655C"/>
    <w:rsid w:val="00F95770"/>
    <w:rsid w:val="00F95E8B"/>
    <w:rsid w:val="00FA0203"/>
    <w:rsid w:val="00FA2B6C"/>
    <w:rsid w:val="00FB0B13"/>
    <w:rsid w:val="00FB5D3B"/>
    <w:rsid w:val="00FD10C2"/>
    <w:rsid w:val="00FE3888"/>
    <w:rsid w:val="00FE5EF8"/>
    <w:rsid w:val="00FE6369"/>
    <w:rsid w:val="00FE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7540BF1-8E61-49C3-9ACE-9857392E9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A81A44"/>
  </w:style>
  <w:style w:type="character" w:customStyle="1" w:styleId="spelle">
    <w:name w:val="spelle"/>
    <w:basedOn w:val="Fuentedeprrafopredeter"/>
    <w:rsid w:val="00A81A44"/>
  </w:style>
  <w:style w:type="table" w:styleId="Tablaconcuadrcula">
    <w:name w:val="Table Grid"/>
    <w:basedOn w:val="Tablanormal"/>
    <w:uiPriority w:val="39"/>
    <w:rsid w:val="00A81A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decuadrcula1clara-nfasis3">
    <w:name w:val="Grid Table 1 Light Accent 3"/>
    <w:basedOn w:val="Tablanormal"/>
    <w:uiPriority w:val="46"/>
    <w:rsid w:val="004E3B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il">
    <w:name w:val="il"/>
    <w:basedOn w:val="Fuentedeprrafopredeter"/>
    <w:rsid w:val="004E3B62"/>
  </w:style>
  <w:style w:type="paragraph" w:styleId="Encabezado">
    <w:name w:val="header"/>
    <w:basedOn w:val="Normal"/>
    <w:link w:val="EncabezadoCar"/>
    <w:uiPriority w:val="99"/>
    <w:unhideWhenUsed/>
    <w:rsid w:val="00BF4A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4A3E"/>
  </w:style>
  <w:style w:type="paragraph" w:styleId="Piedepgina">
    <w:name w:val="footer"/>
    <w:basedOn w:val="Normal"/>
    <w:link w:val="PiedepginaCar"/>
    <w:uiPriority w:val="99"/>
    <w:unhideWhenUsed/>
    <w:rsid w:val="00BF4A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4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5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cid:image002.png@01D0F548.0723039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cid:image003.png@01D0F548.0723039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1293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Fernando Delgado Cabana</dc:creator>
  <cp:keywords/>
  <dc:description/>
  <cp:lastModifiedBy>David Fernando Delgado Cabana</cp:lastModifiedBy>
  <cp:revision>2</cp:revision>
  <dcterms:created xsi:type="dcterms:W3CDTF">2015-11-11T19:53:00Z</dcterms:created>
  <dcterms:modified xsi:type="dcterms:W3CDTF">2015-11-11T21:36:00Z</dcterms:modified>
</cp:coreProperties>
</file>