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FECFC" w14:textId="27506B41" w:rsidR="00FC1944" w:rsidRPr="0073029B" w:rsidRDefault="00EE1DC2" w:rsidP="00971302">
      <w:pPr>
        <w:spacing w:after="0"/>
        <w:rPr>
          <w:rFonts w:cs="Tahoma"/>
          <w:b/>
          <w:color w:val="000000"/>
          <w:sz w:val="28"/>
          <w:szCs w:val="20"/>
        </w:rPr>
      </w:pPr>
      <w:r w:rsidRPr="0073029B">
        <w:rPr>
          <w:rFonts w:cs="Tahoma"/>
          <w:noProof/>
        </w:rPr>
        <w:drawing>
          <wp:anchor distT="0" distB="0" distL="114300" distR="114300" simplePos="0" relativeHeight="251658240" behindDoc="1" locked="0" layoutInCell="1" allowOverlap="1" wp14:anchorId="24E5134C" wp14:editId="70D53912">
            <wp:simplePos x="0" y="0"/>
            <wp:positionH relativeFrom="page">
              <wp:posOffset>-9525</wp:posOffset>
            </wp:positionH>
            <wp:positionV relativeFrom="paragraph">
              <wp:posOffset>-890905</wp:posOffset>
            </wp:positionV>
            <wp:extent cx="7767320" cy="10052050"/>
            <wp:effectExtent l="0" t="0" r="5080"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rtada inform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p>
    <w:p w14:paraId="6F9F09CC" w14:textId="09915401" w:rsidR="00C867A4" w:rsidRPr="0073029B" w:rsidRDefault="00EE1DC2" w:rsidP="00971302">
      <w:pPr>
        <w:spacing w:after="0"/>
        <w:rPr>
          <w:rFonts w:cs="Tahoma"/>
          <w:b/>
          <w:color w:val="000000"/>
          <w:sz w:val="28"/>
          <w:szCs w:val="20"/>
        </w:rPr>
      </w:pPr>
      <w:r w:rsidRPr="0073029B">
        <w:rPr>
          <w:rFonts w:cs="Tahoma"/>
          <w:noProof/>
        </w:rPr>
        <mc:AlternateContent>
          <mc:Choice Requires="wps">
            <w:drawing>
              <wp:anchor distT="0" distB="0" distL="114300" distR="114300" simplePos="0" relativeHeight="251658241" behindDoc="0" locked="0" layoutInCell="1" allowOverlap="1" wp14:anchorId="2F4DFFD2" wp14:editId="155C04F2">
                <wp:simplePos x="0" y="0"/>
                <wp:positionH relativeFrom="margin">
                  <wp:posOffset>-41275</wp:posOffset>
                </wp:positionH>
                <wp:positionV relativeFrom="paragraph">
                  <wp:posOffset>1128395</wp:posOffset>
                </wp:positionV>
                <wp:extent cx="5734050" cy="637154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734050" cy="6371540"/>
                        </a:xfrm>
                        <a:prstGeom prst="rect">
                          <a:avLst/>
                        </a:prstGeom>
                        <a:solidFill>
                          <a:schemeClr val="lt1"/>
                        </a:solidFill>
                        <a:ln w="6350">
                          <a:noFill/>
                        </a:ln>
                      </wps:spPr>
                      <wps:txbx>
                        <w:txbxContent>
                          <w:p w14:paraId="253DB25C" w14:textId="77777777" w:rsidR="001618C7" w:rsidRPr="005E1E1F" w:rsidRDefault="001618C7" w:rsidP="00971302">
                            <w:pPr>
                              <w:widowControl w:val="0"/>
                              <w:ind w:left="709" w:right="709"/>
                              <w:jc w:val="center"/>
                              <w:rPr>
                                <w:rFonts w:cs="Tahoma"/>
                                <w:sz w:val="36"/>
                              </w:rPr>
                            </w:pPr>
                            <w:r w:rsidRPr="00FC1944">
                              <w:rPr>
                                <w:rFonts w:cs="Tahoma"/>
                                <w:sz w:val="36"/>
                              </w:rPr>
                              <w:t>Sector Seguridad Ciudadana y Justicia</w:t>
                            </w:r>
                          </w:p>
                          <w:p w14:paraId="1B922794" w14:textId="4AF0434C" w:rsidR="001618C7" w:rsidRPr="005C5D33" w:rsidRDefault="001618C7" w:rsidP="00EE1DC2">
                            <w:pPr>
                              <w:widowControl w:val="0"/>
                              <w:spacing w:line="240" w:lineRule="auto"/>
                              <w:ind w:right="-66"/>
                              <w:jc w:val="center"/>
                              <w:rPr>
                                <w:rFonts w:cs="Tahoma"/>
                                <w:sz w:val="36"/>
                                <w:szCs w:val="36"/>
                              </w:rPr>
                            </w:pPr>
                            <w:r w:rsidRPr="005C5D33">
                              <w:rPr>
                                <w:rFonts w:cs="Tahoma"/>
                                <w:sz w:val="36"/>
                                <w:szCs w:val="36"/>
                              </w:rPr>
                              <w:t>Ministerio de Justicia y Paz</w:t>
                            </w:r>
                          </w:p>
                          <w:p w14:paraId="510515D5" w14:textId="77777777" w:rsidR="001618C7" w:rsidRPr="005C5D33" w:rsidRDefault="001618C7" w:rsidP="00EE1DC2">
                            <w:pPr>
                              <w:widowControl w:val="0"/>
                              <w:spacing w:line="240" w:lineRule="auto"/>
                              <w:ind w:right="-66"/>
                              <w:jc w:val="center"/>
                              <w:rPr>
                                <w:rFonts w:cs="Tahoma"/>
                                <w:sz w:val="36"/>
                                <w:szCs w:val="36"/>
                              </w:rPr>
                            </w:pPr>
                            <w:r w:rsidRPr="005C5D33">
                              <w:rPr>
                                <w:rFonts w:cs="Tahoma"/>
                                <w:sz w:val="36"/>
                                <w:szCs w:val="36"/>
                              </w:rPr>
                              <w:t>Secretaría de Planificación Sectorial e Institucional</w:t>
                            </w:r>
                          </w:p>
                          <w:p w14:paraId="4B2367A4" w14:textId="77777777" w:rsidR="001618C7" w:rsidRPr="005C5D33" w:rsidRDefault="001618C7" w:rsidP="00EE1DC2">
                            <w:pPr>
                              <w:widowControl w:val="0"/>
                              <w:spacing w:line="240" w:lineRule="auto"/>
                              <w:ind w:right="-66"/>
                              <w:jc w:val="center"/>
                              <w:rPr>
                                <w:rFonts w:cs="Tahoma"/>
                                <w:sz w:val="36"/>
                                <w:szCs w:val="36"/>
                              </w:rPr>
                            </w:pPr>
                          </w:p>
                          <w:p w14:paraId="284BE18F" w14:textId="3EF3AA06" w:rsidR="001618C7" w:rsidRDefault="001618C7" w:rsidP="00EE1DC2">
                            <w:pPr>
                              <w:widowControl w:val="0"/>
                              <w:spacing w:line="240" w:lineRule="auto"/>
                              <w:ind w:right="709"/>
                              <w:jc w:val="center"/>
                              <w:rPr>
                                <w:rFonts w:cs="Tahoma"/>
                                <w:sz w:val="36"/>
                                <w:szCs w:val="36"/>
                              </w:rPr>
                            </w:pPr>
                          </w:p>
                          <w:p w14:paraId="24CE6AF1" w14:textId="77777777" w:rsidR="001618C7" w:rsidRPr="005C5D33" w:rsidRDefault="001618C7" w:rsidP="00EE1DC2">
                            <w:pPr>
                              <w:widowControl w:val="0"/>
                              <w:spacing w:line="240" w:lineRule="auto"/>
                              <w:ind w:right="709"/>
                              <w:jc w:val="center"/>
                              <w:rPr>
                                <w:rFonts w:cs="Tahoma"/>
                                <w:sz w:val="36"/>
                                <w:szCs w:val="36"/>
                              </w:rPr>
                            </w:pPr>
                          </w:p>
                          <w:p w14:paraId="414B9654" w14:textId="4C622807" w:rsidR="001618C7" w:rsidRDefault="001618C7" w:rsidP="00792BFD">
                            <w:pPr>
                              <w:widowControl w:val="0"/>
                              <w:spacing w:after="0"/>
                              <w:ind w:left="709" w:right="709"/>
                              <w:jc w:val="center"/>
                              <w:rPr>
                                <w:rFonts w:cs="Tahoma"/>
                                <w:sz w:val="36"/>
                              </w:rPr>
                            </w:pPr>
                            <w:r w:rsidRPr="005C5D33">
                              <w:rPr>
                                <w:rFonts w:cs="Tahoma"/>
                                <w:color w:val="000000"/>
                                <w:sz w:val="36"/>
                                <w:szCs w:val="36"/>
                              </w:rPr>
                              <w:t xml:space="preserve">Informe de </w:t>
                            </w:r>
                            <w:bookmarkStart w:id="0" w:name="_Hlk148011750"/>
                            <w:r w:rsidRPr="005C5D33">
                              <w:rPr>
                                <w:rFonts w:cs="Tahoma"/>
                                <w:color w:val="000000"/>
                                <w:sz w:val="36"/>
                                <w:szCs w:val="36"/>
                              </w:rPr>
                              <w:t>Seguimiento</w:t>
                            </w:r>
                            <w:r>
                              <w:rPr>
                                <w:rFonts w:cs="Tahoma"/>
                                <w:color w:val="000000"/>
                                <w:sz w:val="36"/>
                                <w:szCs w:val="36"/>
                              </w:rPr>
                              <w:t xml:space="preserve"> </w:t>
                            </w:r>
                            <w:r w:rsidR="00792BFD">
                              <w:rPr>
                                <w:rFonts w:cs="Tahoma"/>
                                <w:color w:val="000000"/>
                                <w:sz w:val="36"/>
                                <w:szCs w:val="36"/>
                              </w:rPr>
                              <w:t>Anual</w:t>
                            </w:r>
                            <w:r>
                              <w:rPr>
                                <w:rFonts w:cs="Tahoma"/>
                                <w:color w:val="000000"/>
                                <w:sz w:val="36"/>
                                <w:szCs w:val="36"/>
                              </w:rPr>
                              <w:t xml:space="preserve"> 2025</w:t>
                            </w:r>
                            <w:r>
                              <w:rPr>
                                <w:rFonts w:cs="Tahoma"/>
                                <w:sz w:val="36"/>
                              </w:rPr>
                              <w:t xml:space="preserve"> </w:t>
                            </w:r>
                          </w:p>
                          <w:p w14:paraId="35E5FC09" w14:textId="0736A8F7" w:rsidR="001618C7" w:rsidRDefault="001618C7" w:rsidP="00B57505">
                            <w:pPr>
                              <w:widowControl w:val="0"/>
                              <w:spacing w:after="0"/>
                              <w:ind w:left="709" w:right="709"/>
                              <w:jc w:val="center"/>
                              <w:rPr>
                                <w:rFonts w:cs="Tahoma"/>
                                <w:sz w:val="36"/>
                              </w:rPr>
                            </w:pPr>
                            <w:r w:rsidRPr="00FC1944">
                              <w:rPr>
                                <w:rFonts w:cs="Tahoma"/>
                                <w:sz w:val="36"/>
                              </w:rPr>
                              <w:t xml:space="preserve">Plan Nacional de Desarrollo </w:t>
                            </w:r>
                            <w:r>
                              <w:rPr>
                                <w:rFonts w:cs="Tahoma"/>
                                <w:sz w:val="36"/>
                              </w:rPr>
                              <w:t>e</w:t>
                            </w:r>
                            <w:r w:rsidRPr="00FC1944">
                              <w:rPr>
                                <w:rFonts w:cs="Tahoma"/>
                                <w:sz w:val="36"/>
                              </w:rPr>
                              <w:t xml:space="preserve"> Inversión Púbica 2023-2026 (PNDIP)</w:t>
                            </w:r>
                          </w:p>
                          <w:bookmarkEnd w:id="0"/>
                          <w:p w14:paraId="308DC278" w14:textId="77777777" w:rsidR="001618C7" w:rsidRDefault="001618C7" w:rsidP="00EE1DC2">
                            <w:pPr>
                              <w:widowControl w:val="0"/>
                              <w:ind w:left="709" w:right="709"/>
                              <w:jc w:val="center"/>
                              <w:rPr>
                                <w:rFonts w:cs="Tahoma"/>
                                <w:sz w:val="36"/>
                              </w:rPr>
                            </w:pPr>
                          </w:p>
                          <w:p w14:paraId="4EBFF844" w14:textId="77777777" w:rsidR="001618C7" w:rsidRDefault="001618C7" w:rsidP="00EE1DC2">
                            <w:pPr>
                              <w:widowControl w:val="0"/>
                              <w:ind w:left="709" w:right="709"/>
                              <w:jc w:val="center"/>
                              <w:rPr>
                                <w:rFonts w:cs="Tahoma"/>
                                <w:sz w:val="36"/>
                              </w:rPr>
                            </w:pPr>
                          </w:p>
                          <w:p w14:paraId="021902C5" w14:textId="514E420C" w:rsidR="001618C7" w:rsidRPr="005C5D33" w:rsidRDefault="001618C7" w:rsidP="00EE1DC2">
                            <w:pPr>
                              <w:autoSpaceDE w:val="0"/>
                              <w:autoSpaceDN w:val="0"/>
                              <w:adjustRightInd w:val="0"/>
                              <w:spacing w:line="240" w:lineRule="auto"/>
                              <w:jc w:val="center"/>
                              <w:rPr>
                                <w:rFonts w:cs="Tahoma"/>
                                <w:color w:val="000000"/>
                                <w:sz w:val="36"/>
                                <w:szCs w:val="36"/>
                              </w:rPr>
                            </w:pPr>
                          </w:p>
                          <w:p w14:paraId="148BEE8D" w14:textId="77777777" w:rsidR="001618C7" w:rsidRPr="005C5D33" w:rsidRDefault="001618C7" w:rsidP="00EE1DC2">
                            <w:pPr>
                              <w:widowControl w:val="0"/>
                              <w:spacing w:line="240" w:lineRule="auto"/>
                              <w:ind w:right="709"/>
                              <w:jc w:val="center"/>
                              <w:rPr>
                                <w:rFonts w:cs="Tahoma"/>
                                <w:color w:val="000000"/>
                                <w:sz w:val="36"/>
                                <w:szCs w:val="36"/>
                              </w:rPr>
                            </w:pPr>
                          </w:p>
                          <w:p w14:paraId="574B466E" w14:textId="77777777" w:rsidR="001618C7" w:rsidRPr="005C5D33" w:rsidRDefault="001618C7" w:rsidP="00EE1DC2">
                            <w:pPr>
                              <w:widowControl w:val="0"/>
                              <w:spacing w:line="240" w:lineRule="auto"/>
                              <w:ind w:right="709"/>
                              <w:jc w:val="center"/>
                              <w:rPr>
                                <w:rFonts w:cs="Tahoma"/>
                                <w:sz w:val="36"/>
                                <w:szCs w:val="36"/>
                              </w:rPr>
                            </w:pPr>
                          </w:p>
                          <w:p w14:paraId="266A3EF3" w14:textId="77777777" w:rsidR="001618C7" w:rsidRPr="005C5D33" w:rsidRDefault="001618C7" w:rsidP="00EE1DC2">
                            <w:pPr>
                              <w:widowControl w:val="0"/>
                              <w:spacing w:line="240" w:lineRule="auto"/>
                              <w:ind w:right="709"/>
                              <w:jc w:val="center"/>
                              <w:rPr>
                                <w:rFonts w:cs="Tahoma"/>
                                <w:sz w:val="36"/>
                                <w:szCs w:val="36"/>
                              </w:rPr>
                            </w:pPr>
                          </w:p>
                          <w:p w14:paraId="402D8767" w14:textId="255544CF" w:rsidR="001618C7" w:rsidRPr="00A93381" w:rsidRDefault="00D33A72" w:rsidP="00EE1DC2">
                            <w:pPr>
                              <w:widowControl w:val="0"/>
                              <w:spacing w:line="240" w:lineRule="auto"/>
                              <w:ind w:right="-66"/>
                              <w:jc w:val="center"/>
                              <w:rPr>
                                <w:rFonts w:cs="Tahoma"/>
                                <w:sz w:val="36"/>
                                <w:szCs w:val="36"/>
                              </w:rPr>
                            </w:pPr>
                            <w:r w:rsidRPr="003D1A43">
                              <w:rPr>
                                <w:rFonts w:cs="Tahoma"/>
                                <w:sz w:val="36"/>
                                <w:szCs w:val="36"/>
                              </w:rPr>
                              <w:t>2</w:t>
                            </w:r>
                            <w:r w:rsidR="000B58DB" w:rsidRPr="003D1A43">
                              <w:rPr>
                                <w:rFonts w:cs="Tahoma"/>
                                <w:sz w:val="36"/>
                                <w:szCs w:val="36"/>
                              </w:rPr>
                              <w:t>8</w:t>
                            </w:r>
                            <w:r w:rsidR="001618C7" w:rsidRPr="003D1A43">
                              <w:rPr>
                                <w:rFonts w:cs="Tahoma"/>
                                <w:sz w:val="36"/>
                                <w:szCs w:val="36"/>
                              </w:rPr>
                              <w:t xml:space="preserve"> </w:t>
                            </w:r>
                            <w:r w:rsidR="00F14DBB" w:rsidRPr="003D1A43">
                              <w:rPr>
                                <w:rFonts w:cs="Tahoma"/>
                                <w:sz w:val="36"/>
                                <w:szCs w:val="36"/>
                              </w:rPr>
                              <w:t>de enero</w:t>
                            </w:r>
                            <w:r w:rsidR="001618C7" w:rsidRPr="003D1A43">
                              <w:rPr>
                                <w:rFonts w:cs="Tahoma"/>
                                <w:sz w:val="36"/>
                                <w:szCs w:val="36"/>
                              </w:rPr>
                              <w:t>, 202</w:t>
                            </w:r>
                            <w:r w:rsidR="002021DF" w:rsidRPr="003D1A43">
                              <w:rPr>
                                <w:rFonts w:cs="Tahoma"/>
                                <w:sz w:val="36"/>
                                <w:szCs w:val="36"/>
                              </w:rPr>
                              <w:t>6</w:t>
                            </w:r>
                          </w:p>
                          <w:p w14:paraId="2DB05143" w14:textId="77777777" w:rsidR="001618C7" w:rsidRDefault="001618C7" w:rsidP="00EE1DC2">
                            <w:pPr>
                              <w:widowControl w:val="0"/>
                              <w:spacing w:line="240" w:lineRule="auto"/>
                              <w:ind w:right="-66"/>
                              <w:jc w:val="center"/>
                              <w:rPr>
                                <w:rFonts w:cs="Tahoma"/>
                                <w:sz w:val="36"/>
                              </w:rPr>
                            </w:pPr>
                          </w:p>
                          <w:p w14:paraId="602A3ED2" w14:textId="77777777" w:rsidR="001618C7" w:rsidRDefault="001618C7" w:rsidP="00EE1DC2">
                            <w:pPr>
                              <w:widowControl w:val="0"/>
                              <w:spacing w:line="240" w:lineRule="auto"/>
                              <w:ind w:right="-66"/>
                              <w:jc w:val="center"/>
                              <w:rPr>
                                <w:rFonts w:cs="Tahoma"/>
                                <w:sz w:val="36"/>
                              </w:rPr>
                            </w:pPr>
                          </w:p>
                          <w:p w14:paraId="4FB8E311" w14:textId="77777777" w:rsidR="001618C7" w:rsidRPr="00D34A79" w:rsidRDefault="001618C7" w:rsidP="00EE1DC2">
                            <w:pPr>
                              <w:jc w:val="center"/>
                              <w:rPr>
                                <w:rFonts w:ascii="HendersonSansW00-BasicLight" w:hAnsi="HendersonSansW00-Basic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DFFD2" id="_x0000_t202" coordsize="21600,21600" o:spt="202" path="m,l,21600r21600,l21600,xe">
                <v:stroke joinstyle="miter"/>
                <v:path gradientshapeok="t" o:connecttype="rect"/>
              </v:shapetype>
              <v:shape id="Cuadro de texto 15" o:spid="_x0000_s1026" type="#_x0000_t202" style="position:absolute;margin-left:-3.25pt;margin-top:88.85pt;width:451.5pt;height:50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" fillcolor="white [3201]" stroked="f" strokeweight=".5pt">
                <v:textbox>
                  <w:txbxContent>
                    <w:p w14:paraId="253DB25C" w14:textId="77777777" w:rsidR="001618C7" w:rsidRPr="005E1E1F" w:rsidRDefault="001618C7" w:rsidP="00971302">
                      <w:pPr>
                        <w:widowControl w:val="0"/>
                        <w:ind w:left="709" w:right="709"/>
                        <w:jc w:val="center"/>
                        <w:rPr>
                          <w:rFonts w:cs="Tahoma"/>
                          <w:sz w:val="36"/>
                        </w:rPr>
                      </w:pPr>
                      <w:r w:rsidRPr="00FC1944">
                        <w:rPr>
                          <w:rFonts w:cs="Tahoma"/>
                          <w:sz w:val="36"/>
                        </w:rPr>
                        <w:t>Sector Seguridad Ciudadana y Justicia</w:t>
                      </w:r>
                    </w:p>
                    <w:p w14:paraId="1B922794" w14:textId="4AF0434C" w:rsidR="001618C7" w:rsidRPr="005C5D33" w:rsidRDefault="001618C7" w:rsidP="00EE1DC2">
                      <w:pPr>
                        <w:widowControl w:val="0"/>
                        <w:spacing w:line="240" w:lineRule="auto"/>
                        <w:ind w:right="-66"/>
                        <w:jc w:val="center"/>
                        <w:rPr>
                          <w:rFonts w:cs="Tahoma"/>
                          <w:sz w:val="36"/>
                          <w:szCs w:val="36"/>
                        </w:rPr>
                      </w:pPr>
                      <w:r w:rsidRPr="005C5D33">
                        <w:rPr>
                          <w:rFonts w:cs="Tahoma"/>
                          <w:sz w:val="36"/>
                          <w:szCs w:val="36"/>
                        </w:rPr>
                        <w:t>Ministerio de Justicia y Paz</w:t>
                      </w:r>
                    </w:p>
                    <w:p w14:paraId="510515D5" w14:textId="77777777" w:rsidR="001618C7" w:rsidRPr="005C5D33" w:rsidRDefault="001618C7" w:rsidP="00EE1DC2">
                      <w:pPr>
                        <w:widowControl w:val="0"/>
                        <w:spacing w:line="240" w:lineRule="auto"/>
                        <w:ind w:right="-66"/>
                        <w:jc w:val="center"/>
                        <w:rPr>
                          <w:rFonts w:cs="Tahoma"/>
                          <w:sz w:val="36"/>
                          <w:szCs w:val="36"/>
                        </w:rPr>
                      </w:pPr>
                      <w:r w:rsidRPr="005C5D33">
                        <w:rPr>
                          <w:rFonts w:cs="Tahoma"/>
                          <w:sz w:val="36"/>
                          <w:szCs w:val="36"/>
                        </w:rPr>
                        <w:t>Secretaría de Planificación Sectorial e Institucional</w:t>
                      </w:r>
                    </w:p>
                    <w:p w14:paraId="4B2367A4" w14:textId="77777777" w:rsidR="001618C7" w:rsidRPr="005C5D33" w:rsidRDefault="001618C7" w:rsidP="00EE1DC2">
                      <w:pPr>
                        <w:widowControl w:val="0"/>
                        <w:spacing w:line="240" w:lineRule="auto"/>
                        <w:ind w:right="-66"/>
                        <w:jc w:val="center"/>
                        <w:rPr>
                          <w:rFonts w:cs="Tahoma"/>
                          <w:sz w:val="36"/>
                          <w:szCs w:val="36"/>
                        </w:rPr>
                      </w:pPr>
                    </w:p>
                    <w:p w14:paraId="284BE18F" w14:textId="3EF3AA06" w:rsidR="001618C7" w:rsidRDefault="001618C7" w:rsidP="00EE1DC2">
                      <w:pPr>
                        <w:widowControl w:val="0"/>
                        <w:spacing w:line="240" w:lineRule="auto"/>
                        <w:ind w:right="709"/>
                        <w:jc w:val="center"/>
                        <w:rPr>
                          <w:rFonts w:cs="Tahoma"/>
                          <w:sz w:val="36"/>
                          <w:szCs w:val="36"/>
                        </w:rPr>
                      </w:pPr>
                    </w:p>
                    <w:p w14:paraId="24CE6AF1" w14:textId="77777777" w:rsidR="001618C7" w:rsidRPr="005C5D33" w:rsidRDefault="001618C7" w:rsidP="00EE1DC2">
                      <w:pPr>
                        <w:widowControl w:val="0"/>
                        <w:spacing w:line="240" w:lineRule="auto"/>
                        <w:ind w:right="709"/>
                        <w:jc w:val="center"/>
                        <w:rPr>
                          <w:rFonts w:cs="Tahoma"/>
                          <w:sz w:val="36"/>
                          <w:szCs w:val="36"/>
                        </w:rPr>
                      </w:pPr>
                    </w:p>
                    <w:p w14:paraId="414B9654" w14:textId="4C622807" w:rsidR="001618C7" w:rsidRDefault="001618C7" w:rsidP="00792BFD">
                      <w:pPr>
                        <w:widowControl w:val="0"/>
                        <w:spacing w:after="0"/>
                        <w:ind w:left="709" w:right="709"/>
                        <w:jc w:val="center"/>
                        <w:rPr>
                          <w:rFonts w:cs="Tahoma"/>
                          <w:sz w:val="36"/>
                        </w:rPr>
                      </w:pPr>
                      <w:r w:rsidRPr="005C5D33">
                        <w:rPr>
                          <w:rFonts w:cs="Tahoma"/>
                          <w:color w:val="000000"/>
                          <w:sz w:val="36"/>
                          <w:szCs w:val="36"/>
                        </w:rPr>
                        <w:t xml:space="preserve">Informe de </w:t>
                      </w:r>
                      <w:bookmarkStart w:id="1" w:name="_Hlk148011750"/>
                      <w:r w:rsidRPr="005C5D33">
                        <w:rPr>
                          <w:rFonts w:cs="Tahoma"/>
                          <w:color w:val="000000"/>
                          <w:sz w:val="36"/>
                          <w:szCs w:val="36"/>
                        </w:rPr>
                        <w:t>Seguimiento</w:t>
                      </w:r>
                      <w:r>
                        <w:rPr>
                          <w:rFonts w:cs="Tahoma"/>
                          <w:color w:val="000000"/>
                          <w:sz w:val="36"/>
                          <w:szCs w:val="36"/>
                        </w:rPr>
                        <w:t xml:space="preserve"> </w:t>
                      </w:r>
                      <w:r w:rsidR="00792BFD">
                        <w:rPr>
                          <w:rFonts w:cs="Tahoma"/>
                          <w:color w:val="000000"/>
                          <w:sz w:val="36"/>
                          <w:szCs w:val="36"/>
                        </w:rPr>
                        <w:t>Anual</w:t>
                      </w:r>
                      <w:r>
                        <w:rPr>
                          <w:rFonts w:cs="Tahoma"/>
                          <w:color w:val="000000"/>
                          <w:sz w:val="36"/>
                          <w:szCs w:val="36"/>
                        </w:rPr>
                        <w:t xml:space="preserve"> 2025</w:t>
                      </w:r>
                      <w:r>
                        <w:rPr>
                          <w:rFonts w:cs="Tahoma"/>
                          <w:sz w:val="36"/>
                        </w:rPr>
                        <w:t xml:space="preserve"> </w:t>
                      </w:r>
                    </w:p>
                    <w:p w14:paraId="35E5FC09" w14:textId="0736A8F7" w:rsidR="001618C7" w:rsidRDefault="001618C7" w:rsidP="00B57505">
                      <w:pPr>
                        <w:widowControl w:val="0"/>
                        <w:spacing w:after="0"/>
                        <w:ind w:left="709" w:right="709"/>
                        <w:jc w:val="center"/>
                        <w:rPr>
                          <w:rFonts w:cs="Tahoma"/>
                          <w:sz w:val="36"/>
                        </w:rPr>
                      </w:pPr>
                      <w:r w:rsidRPr="00FC1944">
                        <w:rPr>
                          <w:rFonts w:cs="Tahoma"/>
                          <w:sz w:val="36"/>
                        </w:rPr>
                        <w:t xml:space="preserve">Plan Nacional de Desarrollo </w:t>
                      </w:r>
                      <w:r>
                        <w:rPr>
                          <w:rFonts w:cs="Tahoma"/>
                          <w:sz w:val="36"/>
                        </w:rPr>
                        <w:t>e</w:t>
                      </w:r>
                      <w:r w:rsidRPr="00FC1944">
                        <w:rPr>
                          <w:rFonts w:cs="Tahoma"/>
                          <w:sz w:val="36"/>
                        </w:rPr>
                        <w:t xml:space="preserve"> Inversión Púbica 2023-2026 (PNDIP)</w:t>
                      </w:r>
                    </w:p>
                    <w:bookmarkEnd w:id="1"/>
                    <w:p w14:paraId="308DC278" w14:textId="77777777" w:rsidR="001618C7" w:rsidRDefault="001618C7" w:rsidP="00EE1DC2">
                      <w:pPr>
                        <w:widowControl w:val="0"/>
                        <w:ind w:left="709" w:right="709"/>
                        <w:jc w:val="center"/>
                        <w:rPr>
                          <w:rFonts w:cs="Tahoma"/>
                          <w:sz w:val="36"/>
                        </w:rPr>
                      </w:pPr>
                    </w:p>
                    <w:p w14:paraId="4EBFF844" w14:textId="77777777" w:rsidR="001618C7" w:rsidRDefault="001618C7" w:rsidP="00EE1DC2">
                      <w:pPr>
                        <w:widowControl w:val="0"/>
                        <w:ind w:left="709" w:right="709"/>
                        <w:jc w:val="center"/>
                        <w:rPr>
                          <w:rFonts w:cs="Tahoma"/>
                          <w:sz w:val="36"/>
                        </w:rPr>
                      </w:pPr>
                    </w:p>
                    <w:p w14:paraId="021902C5" w14:textId="514E420C" w:rsidR="001618C7" w:rsidRPr="005C5D33" w:rsidRDefault="001618C7" w:rsidP="00EE1DC2">
                      <w:pPr>
                        <w:autoSpaceDE w:val="0"/>
                        <w:autoSpaceDN w:val="0"/>
                        <w:adjustRightInd w:val="0"/>
                        <w:spacing w:line="240" w:lineRule="auto"/>
                        <w:jc w:val="center"/>
                        <w:rPr>
                          <w:rFonts w:cs="Tahoma"/>
                          <w:color w:val="000000"/>
                          <w:sz w:val="36"/>
                          <w:szCs w:val="36"/>
                        </w:rPr>
                      </w:pPr>
                    </w:p>
                    <w:p w14:paraId="148BEE8D" w14:textId="77777777" w:rsidR="001618C7" w:rsidRPr="005C5D33" w:rsidRDefault="001618C7" w:rsidP="00EE1DC2">
                      <w:pPr>
                        <w:widowControl w:val="0"/>
                        <w:spacing w:line="240" w:lineRule="auto"/>
                        <w:ind w:right="709"/>
                        <w:jc w:val="center"/>
                        <w:rPr>
                          <w:rFonts w:cs="Tahoma"/>
                          <w:color w:val="000000"/>
                          <w:sz w:val="36"/>
                          <w:szCs w:val="36"/>
                        </w:rPr>
                      </w:pPr>
                    </w:p>
                    <w:p w14:paraId="574B466E" w14:textId="77777777" w:rsidR="001618C7" w:rsidRPr="005C5D33" w:rsidRDefault="001618C7" w:rsidP="00EE1DC2">
                      <w:pPr>
                        <w:widowControl w:val="0"/>
                        <w:spacing w:line="240" w:lineRule="auto"/>
                        <w:ind w:right="709"/>
                        <w:jc w:val="center"/>
                        <w:rPr>
                          <w:rFonts w:cs="Tahoma"/>
                          <w:sz w:val="36"/>
                          <w:szCs w:val="36"/>
                        </w:rPr>
                      </w:pPr>
                    </w:p>
                    <w:p w14:paraId="266A3EF3" w14:textId="77777777" w:rsidR="001618C7" w:rsidRPr="005C5D33" w:rsidRDefault="001618C7" w:rsidP="00EE1DC2">
                      <w:pPr>
                        <w:widowControl w:val="0"/>
                        <w:spacing w:line="240" w:lineRule="auto"/>
                        <w:ind w:right="709"/>
                        <w:jc w:val="center"/>
                        <w:rPr>
                          <w:rFonts w:cs="Tahoma"/>
                          <w:sz w:val="36"/>
                          <w:szCs w:val="36"/>
                        </w:rPr>
                      </w:pPr>
                    </w:p>
                    <w:p w14:paraId="402D8767" w14:textId="255544CF" w:rsidR="001618C7" w:rsidRPr="00A93381" w:rsidRDefault="00D33A72" w:rsidP="00EE1DC2">
                      <w:pPr>
                        <w:widowControl w:val="0"/>
                        <w:spacing w:line="240" w:lineRule="auto"/>
                        <w:ind w:right="-66"/>
                        <w:jc w:val="center"/>
                        <w:rPr>
                          <w:rFonts w:cs="Tahoma"/>
                          <w:sz w:val="36"/>
                          <w:szCs w:val="36"/>
                        </w:rPr>
                      </w:pPr>
                      <w:r w:rsidRPr="003D1A43">
                        <w:rPr>
                          <w:rFonts w:cs="Tahoma"/>
                          <w:sz w:val="36"/>
                          <w:szCs w:val="36"/>
                        </w:rPr>
                        <w:t>2</w:t>
                      </w:r>
                      <w:r w:rsidR="000B58DB" w:rsidRPr="003D1A43">
                        <w:rPr>
                          <w:rFonts w:cs="Tahoma"/>
                          <w:sz w:val="36"/>
                          <w:szCs w:val="36"/>
                        </w:rPr>
                        <w:t>8</w:t>
                      </w:r>
                      <w:r w:rsidR="001618C7" w:rsidRPr="003D1A43">
                        <w:rPr>
                          <w:rFonts w:cs="Tahoma"/>
                          <w:sz w:val="36"/>
                          <w:szCs w:val="36"/>
                        </w:rPr>
                        <w:t xml:space="preserve"> </w:t>
                      </w:r>
                      <w:r w:rsidR="00F14DBB" w:rsidRPr="003D1A43">
                        <w:rPr>
                          <w:rFonts w:cs="Tahoma"/>
                          <w:sz w:val="36"/>
                          <w:szCs w:val="36"/>
                        </w:rPr>
                        <w:t>de enero</w:t>
                      </w:r>
                      <w:r w:rsidR="001618C7" w:rsidRPr="003D1A43">
                        <w:rPr>
                          <w:rFonts w:cs="Tahoma"/>
                          <w:sz w:val="36"/>
                          <w:szCs w:val="36"/>
                        </w:rPr>
                        <w:t>, 202</w:t>
                      </w:r>
                      <w:r w:rsidR="002021DF" w:rsidRPr="003D1A43">
                        <w:rPr>
                          <w:rFonts w:cs="Tahoma"/>
                          <w:sz w:val="36"/>
                          <w:szCs w:val="36"/>
                        </w:rPr>
                        <w:t>6</w:t>
                      </w:r>
                    </w:p>
                    <w:p w14:paraId="2DB05143" w14:textId="77777777" w:rsidR="001618C7" w:rsidRDefault="001618C7" w:rsidP="00EE1DC2">
                      <w:pPr>
                        <w:widowControl w:val="0"/>
                        <w:spacing w:line="240" w:lineRule="auto"/>
                        <w:ind w:right="-66"/>
                        <w:jc w:val="center"/>
                        <w:rPr>
                          <w:rFonts w:cs="Tahoma"/>
                          <w:sz w:val="36"/>
                        </w:rPr>
                      </w:pPr>
                    </w:p>
                    <w:p w14:paraId="602A3ED2" w14:textId="77777777" w:rsidR="001618C7" w:rsidRDefault="001618C7" w:rsidP="00EE1DC2">
                      <w:pPr>
                        <w:widowControl w:val="0"/>
                        <w:spacing w:line="240" w:lineRule="auto"/>
                        <w:ind w:right="-66"/>
                        <w:jc w:val="center"/>
                        <w:rPr>
                          <w:rFonts w:cs="Tahoma"/>
                          <w:sz w:val="36"/>
                        </w:rPr>
                      </w:pPr>
                    </w:p>
                    <w:p w14:paraId="4FB8E311" w14:textId="77777777" w:rsidR="001618C7" w:rsidRPr="00D34A79" w:rsidRDefault="001618C7" w:rsidP="00EE1DC2">
                      <w:pPr>
                        <w:jc w:val="center"/>
                        <w:rPr>
                          <w:rFonts w:ascii="HendersonSansW00-BasicLight" w:hAnsi="HendersonSansW00-BasicLight"/>
                        </w:rPr>
                      </w:pPr>
                    </w:p>
                  </w:txbxContent>
                </v:textbox>
                <w10:wrap anchorx="margin"/>
              </v:shape>
            </w:pict>
          </mc:Fallback>
        </mc:AlternateContent>
      </w:r>
    </w:p>
    <w:p w14:paraId="6F418726" w14:textId="06E392C6" w:rsidR="00EE1DC2" w:rsidRPr="0073029B" w:rsidRDefault="00EE1DC2" w:rsidP="00971302">
      <w:pPr>
        <w:spacing w:after="0"/>
        <w:rPr>
          <w:rFonts w:cs="Tahoma"/>
          <w:b/>
          <w:color w:val="000000"/>
          <w:sz w:val="28"/>
          <w:szCs w:val="20"/>
        </w:rPr>
        <w:sectPr w:rsidR="00EE1DC2" w:rsidRPr="0073029B" w:rsidSect="00FC1944">
          <w:headerReference w:type="default" r:id="rId12"/>
          <w:pgSz w:w="12242" w:h="15842" w:code="1"/>
          <w:pgMar w:top="1418" w:right="1418" w:bottom="1418" w:left="1985" w:header="284" w:footer="510" w:gutter="0"/>
          <w:cols w:space="708"/>
          <w:docGrid w:linePitch="360"/>
        </w:sectPr>
      </w:pPr>
    </w:p>
    <w:bookmarkStart w:id="2" w:name="_Hlk148011690" w:displacedByCustomXml="next"/>
    <w:sdt>
      <w:sdtPr>
        <w:rPr>
          <w:rFonts w:ascii="Tahoma" w:eastAsiaTheme="minorEastAsia" w:hAnsi="Tahoma" w:cs="Tahoma"/>
          <w:color w:val="auto"/>
          <w:sz w:val="24"/>
          <w:szCs w:val="24"/>
          <w:lang w:val="es-ES" w:eastAsia="en-US"/>
        </w:rPr>
        <w:id w:val="-1867985033"/>
        <w:docPartObj>
          <w:docPartGallery w:val="Table of Contents"/>
          <w:docPartUnique/>
        </w:docPartObj>
      </w:sdtPr>
      <w:sdtEndPr>
        <w:rPr>
          <w:b/>
          <w:bCs/>
        </w:rPr>
      </w:sdtEndPr>
      <w:sdtContent>
        <w:p w14:paraId="16D1624A" w14:textId="6248C3BD" w:rsidR="00106D96" w:rsidRPr="0073029B" w:rsidRDefault="00106D96" w:rsidP="0066339A">
          <w:pPr>
            <w:pStyle w:val="TtuloTDC"/>
            <w:spacing w:line="360" w:lineRule="auto"/>
            <w:jc w:val="center"/>
            <w:rPr>
              <w:rFonts w:ascii="Tahoma" w:hAnsi="Tahoma" w:cs="Tahoma"/>
              <w:b/>
              <w:color w:val="auto"/>
              <w:sz w:val="24"/>
              <w:szCs w:val="24"/>
              <w:lang w:val="es-ES"/>
            </w:rPr>
          </w:pPr>
          <w:r w:rsidRPr="0073029B">
            <w:rPr>
              <w:rFonts w:ascii="Tahoma" w:hAnsi="Tahoma" w:cs="Tahoma"/>
              <w:b/>
              <w:color w:val="auto"/>
              <w:sz w:val="24"/>
              <w:szCs w:val="24"/>
              <w:lang w:val="es-ES"/>
            </w:rPr>
            <w:t>Tabla de contenido</w:t>
          </w:r>
        </w:p>
        <w:p w14:paraId="485031AD" w14:textId="44E254F3" w:rsidR="00C002CC" w:rsidRPr="008F3096" w:rsidRDefault="00106D96" w:rsidP="008F3096">
          <w:pPr>
            <w:pStyle w:val="TDC1"/>
            <w:tabs>
              <w:tab w:val="right" w:leader="dot" w:pos="9323"/>
            </w:tabs>
            <w:jc w:val="both"/>
            <w:rPr>
              <w:rFonts w:asciiTheme="minorHAnsi" w:eastAsiaTheme="minorEastAsia" w:hAnsiTheme="minorHAnsi"/>
              <w:noProof/>
              <w:kern w:val="2"/>
              <w:sz w:val="36"/>
              <w:szCs w:val="36"/>
              <w:lang w:eastAsia="es-CR"/>
              <w14:ligatures w14:val="standardContextual"/>
            </w:rPr>
          </w:pPr>
          <w:r w:rsidRPr="0073029B">
            <w:rPr>
              <w:rFonts w:cs="Tahoma"/>
              <w:sz w:val="24"/>
              <w:szCs w:val="24"/>
            </w:rPr>
            <w:fldChar w:fldCharType="begin"/>
          </w:r>
          <w:r w:rsidRPr="0073029B">
            <w:rPr>
              <w:rFonts w:cs="Tahoma"/>
              <w:sz w:val="24"/>
              <w:szCs w:val="24"/>
            </w:rPr>
            <w:instrText xml:space="preserve"> TOC \o "1-3" \h \z \u </w:instrText>
          </w:r>
          <w:r w:rsidRPr="0073029B">
            <w:rPr>
              <w:rFonts w:cs="Tahoma"/>
              <w:sz w:val="24"/>
              <w:szCs w:val="24"/>
            </w:rPr>
            <w:fldChar w:fldCharType="separate"/>
          </w:r>
          <w:hyperlink w:anchor="_Toc220401610" w:history="1">
            <w:r w:rsidR="00C002CC" w:rsidRPr="008F3096">
              <w:rPr>
                <w:rStyle w:val="Hipervnculo"/>
                <w:rFonts w:cs="Tahoma"/>
                <w:noProof/>
                <w:sz w:val="22"/>
                <w:szCs w:val="32"/>
              </w:rPr>
              <w:t>Presentación</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_Toc220401610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2</w:t>
            </w:r>
            <w:r w:rsidR="00C002CC" w:rsidRPr="008F3096">
              <w:rPr>
                <w:noProof/>
                <w:webHidden/>
                <w:sz w:val="22"/>
                <w:szCs w:val="32"/>
              </w:rPr>
              <w:fldChar w:fldCharType="end"/>
            </w:r>
          </w:hyperlink>
        </w:p>
        <w:p w14:paraId="478E87A0" w14:textId="351DBC76" w:rsidR="00C002CC" w:rsidRPr="008F3096" w:rsidRDefault="00000000" w:rsidP="008F3096">
          <w:pPr>
            <w:pStyle w:val="TDC1"/>
            <w:tabs>
              <w:tab w:val="right" w:leader="dot" w:pos="9323"/>
            </w:tabs>
            <w:jc w:val="both"/>
            <w:rPr>
              <w:rFonts w:asciiTheme="minorHAnsi" w:eastAsiaTheme="minorEastAsia" w:hAnsiTheme="minorHAnsi"/>
              <w:noProof/>
              <w:kern w:val="2"/>
              <w:sz w:val="36"/>
              <w:szCs w:val="36"/>
              <w:lang w:eastAsia="es-CR"/>
              <w14:ligatures w14:val="standardContextual"/>
            </w:rPr>
          </w:pPr>
          <w:hyperlink w:anchor="_Toc220401611" w:history="1">
            <w:r w:rsidR="00C002CC" w:rsidRPr="008F3096">
              <w:rPr>
                <w:rStyle w:val="Hipervnculo"/>
                <w:rFonts w:cs="Tahoma"/>
                <w:noProof/>
                <w:sz w:val="22"/>
                <w:szCs w:val="32"/>
              </w:rPr>
              <w:t>1. Metas Sectoriales</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_Toc220401611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6</w:t>
            </w:r>
            <w:r w:rsidR="00C002CC" w:rsidRPr="008F3096">
              <w:rPr>
                <w:noProof/>
                <w:webHidden/>
                <w:sz w:val="22"/>
                <w:szCs w:val="32"/>
              </w:rPr>
              <w:fldChar w:fldCharType="end"/>
            </w:r>
          </w:hyperlink>
        </w:p>
        <w:p w14:paraId="41F5CD6E" w14:textId="694658EA"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12" w:history="1">
            <w:r w:rsidR="00C002CC" w:rsidRPr="008F3096">
              <w:rPr>
                <w:rStyle w:val="Hipervnculo"/>
                <w:rFonts w:cs="Tahoma"/>
                <w:noProof/>
                <w:sz w:val="22"/>
                <w:szCs w:val="32"/>
              </w:rPr>
              <w:t>1.1. Análisis del resultado anual 2025 de las metas sectoriales</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_Toc220401612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7</w:t>
            </w:r>
            <w:r w:rsidR="00C002CC" w:rsidRPr="008F3096">
              <w:rPr>
                <w:noProof/>
                <w:webHidden/>
                <w:sz w:val="22"/>
                <w:szCs w:val="32"/>
              </w:rPr>
              <w:fldChar w:fldCharType="end"/>
            </w:r>
          </w:hyperlink>
        </w:p>
        <w:p w14:paraId="0DD6D9AB" w14:textId="5CA055A9"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13" w:history="1">
            <w:r w:rsidR="00C002CC" w:rsidRPr="008F3096">
              <w:rPr>
                <w:rStyle w:val="Hipervnculo"/>
                <w:rFonts w:cs="Tahoma"/>
                <w:noProof/>
                <w:sz w:val="22"/>
                <w:szCs w:val="32"/>
              </w:rPr>
              <w:t>Indicador 1. Tasa de delitos por cada 100.000 Habitantes</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_Toc220401613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7</w:t>
            </w:r>
            <w:r w:rsidR="00C002CC" w:rsidRPr="008F3096">
              <w:rPr>
                <w:noProof/>
                <w:webHidden/>
                <w:sz w:val="22"/>
                <w:szCs w:val="32"/>
              </w:rPr>
              <w:fldChar w:fldCharType="end"/>
            </w:r>
          </w:hyperlink>
        </w:p>
        <w:p w14:paraId="06692D65" w14:textId="26E9BE19"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14" w:history="1">
            <w:r w:rsidR="00C002CC" w:rsidRPr="008F3096">
              <w:rPr>
                <w:rStyle w:val="Hipervnculo"/>
                <w:rFonts w:cs="Tahoma"/>
                <w:noProof/>
                <w:sz w:val="22"/>
                <w:szCs w:val="32"/>
              </w:rPr>
              <w:t xml:space="preserve">Indicador 2. </w:t>
            </w:r>
            <w:r w:rsidR="00C002CC" w:rsidRPr="008F3096">
              <w:rPr>
                <w:rStyle w:val="Hipervnculo"/>
                <w:noProof/>
                <w:sz w:val="22"/>
                <w:szCs w:val="32"/>
              </w:rPr>
              <w:t xml:space="preserve"> </w:t>
            </w:r>
            <w:r w:rsidR="00C002CC" w:rsidRPr="008F3096">
              <w:rPr>
                <w:rStyle w:val="Hipervnculo"/>
                <w:rFonts w:cs="Tahoma"/>
                <w:noProof/>
                <w:sz w:val="22"/>
                <w:szCs w:val="32"/>
              </w:rPr>
              <w:t>Porcentaje de avance en la ejecución de la Estrategia Nacional para el Combate del Acoso y Hostigamiento Sexual contra las Mujeres, con respecto a los cinco ejes de trabajo. (RUTA DE GÉNERO)</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_Toc220401614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22</w:t>
            </w:r>
            <w:r w:rsidR="00C002CC" w:rsidRPr="008F3096">
              <w:rPr>
                <w:noProof/>
                <w:webHidden/>
                <w:sz w:val="22"/>
                <w:szCs w:val="32"/>
              </w:rPr>
              <w:fldChar w:fldCharType="end"/>
            </w:r>
          </w:hyperlink>
        </w:p>
        <w:p w14:paraId="0BFF3EFB" w14:textId="46CD3E54" w:rsidR="00C002CC" w:rsidRPr="008F3096" w:rsidRDefault="00000000" w:rsidP="003D1A43">
          <w:pPr>
            <w:pStyle w:val="TDC1"/>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15" w:history="1">
            <w:r w:rsidR="00C002CC" w:rsidRPr="008F3096">
              <w:rPr>
                <w:rStyle w:val="Hipervnculo"/>
                <w:rFonts w:cs="Tahoma"/>
                <w:noProof/>
                <w:sz w:val="22"/>
                <w:szCs w:val="32"/>
              </w:rPr>
              <w:t>2. Metas de intervenciones públicas</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_Toc220401615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24</w:t>
            </w:r>
            <w:r w:rsidR="00C002CC" w:rsidRPr="008F3096">
              <w:rPr>
                <w:noProof/>
                <w:webHidden/>
                <w:sz w:val="22"/>
                <w:szCs w:val="32"/>
              </w:rPr>
              <w:fldChar w:fldCharType="end"/>
            </w:r>
          </w:hyperlink>
        </w:p>
        <w:p w14:paraId="5A1FDB01" w14:textId="1C33F818"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16" w:history="1">
            <w:r w:rsidR="00C002CC" w:rsidRPr="008F3096">
              <w:rPr>
                <w:rStyle w:val="Hipervnculo"/>
                <w:rFonts w:cs="Tahoma"/>
                <w:noProof/>
                <w:sz w:val="22"/>
                <w:szCs w:val="32"/>
              </w:rPr>
              <w:t>2.1. Información incluida en las matrices de seguimiento:</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_Toc220401616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24</w:t>
            </w:r>
            <w:r w:rsidR="00C002CC" w:rsidRPr="008F3096">
              <w:rPr>
                <w:noProof/>
                <w:webHidden/>
                <w:sz w:val="22"/>
                <w:szCs w:val="32"/>
              </w:rPr>
              <w:fldChar w:fldCharType="end"/>
            </w:r>
          </w:hyperlink>
        </w:p>
        <w:p w14:paraId="13219B92" w14:textId="655EAD25"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17" w:history="1">
            <w:r w:rsidR="00C002CC" w:rsidRPr="008F3096">
              <w:rPr>
                <w:rStyle w:val="Hipervnculo"/>
                <w:rFonts w:cs="Tahoma"/>
                <w:noProof/>
                <w:sz w:val="22"/>
                <w:szCs w:val="32"/>
              </w:rPr>
              <w:t xml:space="preserve">2.2. </w:t>
            </w:r>
            <w:r w:rsidR="00C002CC" w:rsidRPr="008F3096">
              <w:rPr>
                <w:rStyle w:val="Hipervnculo"/>
                <w:noProof/>
                <w:sz w:val="22"/>
                <w:szCs w:val="32"/>
              </w:rPr>
              <w:t>Clasificación del Cumplimiento</w:t>
            </w:r>
            <w:r w:rsidR="00C002CC" w:rsidRPr="008F3096">
              <w:rPr>
                <w:rStyle w:val="Hipervnculo"/>
                <w:rFonts w:cs="Tahoma"/>
                <w:noProof/>
                <w:sz w:val="22"/>
                <w:szCs w:val="32"/>
              </w:rPr>
              <w:t>:</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_Toc220401617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24</w:t>
            </w:r>
            <w:r w:rsidR="00C002CC" w:rsidRPr="008F3096">
              <w:rPr>
                <w:noProof/>
                <w:webHidden/>
                <w:sz w:val="22"/>
                <w:szCs w:val="32"/>
              </w:rPr>
              <w:fldChar w:fldCharType="end"/>
            </w:r>
          </w:hyperlink>
        </w:p>
        <w:p w14:paraId="0B59DA3A" w14:textId="3FFAB1FA"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18" w:history="1">
            <w:r w:rsidR="00C002CC" w:rsidRPr="008F3096">
              <w:rPr>
                <w:rStyle w:val="Hipervnculo"/>
                <w:rFonts w:cs="Tahoma"/>
                <w:noProof/>
                <w:sz w:val="22"/>
                <w:szCs w:val="32"/>
              </w:rPr>
              <w:t>2.3. Análisis de avance:</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_Toc220401618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25</w:t>
            </w:r>
            <w:r w:rsidR="00C002CC" w:rsidRPr="008F3096">
              <w:rPr>
                <w:noProof/>
                <w:webHidden/>
                <w:sz w:val="22"/>
                <w:szCs w:val="32"/>
              </w:rPr>
              <w:fldChar w:fldCharType="end"/>
            </w:r>
          </w:hyperlink>
        </w:p>
        <w:p w14:paraId="1115A0AA" w14:textId="55339E07"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19" w:history="1">
            <w:r w:rsidR="00C002CC" w:rsidRPr="008F3096">
              <w:rPr>
                <w:rStyle w:val="Hipervnculo"/>
                <w:rFonts w:cs="Tahoma"/>
                <w:noProof/>
                <w:sz w:val="22"/>
                <w:szCs w:val="32"/>
              </w:rPr>
              <w:t>2.4 Resumen de resultado anual 2025 de las metas de intervención pública según las categorías de cumplimiento</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_Toc220401619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26</w:t>
            </w:r>
            <w:r w:rsidR="00C002CC" w:rsidRPr="008F3096">
              <w:rPr>
                <w:noProof/>
                <w:webHidden/>
                <w:sz w:val="22"/>
                <w:szCs w:val="32"/>
              </w:rPr>
              <w:fldChar w:fldCharType="end"/>
            </w:r>
          </w:hyperlink>
        </w:p>
        <w:p w14:paraId="05C15913" w14:textId="6650310B"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20" w:history="1">
            <w:r w:rsidR="00C002CC" w:rsidRPr="008F3096">
              <w:rPr>
                <w:rStyle w:val="Hipervnculo"/>
                <w:rFonts w:cs="Tahoma"/>
                <w:noProof/>
                <w:sz w:val="22"/>
                <w:szCs w:val="32"/>
              </w:rPr>
              <w:t>Intervención Pública 1: Programa de fortalecimiento del Sistema Penitenciario Nacional.</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_Toc220401620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27</w:t>
            </w:r>
            <w:r w:rsidR="00C002CC" w:rsidRPr="008F3096">
              <w:rPr>
                <w:noProof/>
                <w:webHidden/>
                <w:sz w:val="22"/>
                <w:szCs w:val="32"/>
              </w:rPr>
              <w:fldChar w:fldCharType="end"/>
            </w:r>
          </w:hyperlink>
        </w:p>
        <w:p w14:paraId="6582F409" w14:textId="2FDE6EDD"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21" w:history="1">
            <w:r w:rsidR="00C002CC" w:rsidRPr="008F3096">
              <w:rPr>
                <w:rStyle w:val="Hipervnculo"/>
                <w:rFonts w:cs="Tahoma"/>
                <w:noProof/>
                <w:sz w:val="22"/>
                <w:szCs w:val="32"/>
              </w:rPr>
              <w:t>Intervención Pública 2: Programa de fortalecimiento de Seguridad Ciudadana y Prevención de la Violencia.</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_Toc220401621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31</w:t>
            </w:r>
            <w:r w:rsidR="00C002CC" w:rsidRPr="008F3096">
              <w:rPr>
                <w:noProof/>
                <w:webHidden/>
                <w:sz w:val="22"/>
                <w:szCs w:val="32"/>
              </w:rPr>
              <w:fldChar w:fldCharType="end"/>
            </w:r>
          </w:hyperlink>
        </w:p>
        <w:p w14:paraId="6BD8D7B5" w14:textId="280E05BC"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22" w:history="1">
            <w:r w:rsidR="00C002CC" w:rsidRPr="008F3096">
              <w:rPr>
                <w:rStyle w:val="Hipervnculo"/>
                <w:rFonts w:cs="Tahoma"/>
                <w:noProof/>
                <w:sz w:val="22"/>
                <w:szCs w:val="32"/>
              </w:rPr>
              <w:t>Intervención Pública 3: Atención a los Flujos Migratorios Mixtos.</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_Toc220401622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34</w:t>
            </w:r>
            <w:r w:rsidR="00C002CC" w:rsidRPr="008F3096">
              <w:rPr>
                <w:noProof/>
                <w:webHidden/>
                <w:sz w:val="22"/>
                <w:szCs w:val="32"/>
              </w:rPr>
              <w:fldChar w:fldCharType="end"/>
            </w:r>
          </w:hyperlink>
        </w:p>
        <w:p w14:paraId="78D81DCE" w14:textId="16E3CA27"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23" w:history="1">
            <w:r w:rsidR="00C002CC" w:rsidRPr="008F3096">
              <w:rPr>
                <w:rStyle w:val="Hipervnculo"/>
                <w:rFonts w:cs="Tahoma"/>
                <w:noProof/>
                <w:sz w:val="22"/>
                <w:szCs w:val="32"/>
              </w:rPr>
              <w:t>Intervención Pública 4: Abordaje integral de víctimas de trata de personas.</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_Toc220401623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35</w:t>
            </w:r>
            <w:r w:rsidR="00C002CC" w:rsidRPr="008F3096">
              <w:rPr>
                <w:noProof/>
                <w:webHidden/>
                <w:sz w:val="22"/>
                <w:szCs w:val="32"/>
              </w:rPr>
              <w:fldChar w:fldCharType="end"/>
            </w:r>
          </w:hyperlink>
        </w:p>
        <w:p w14:paraId="15FC6D23" w14:textId="0DA1F78E"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24" w:history="1">
            <w:r w:rsidR="00C002CC" w:rsidRPr="008F3096">
              <w:rPr>
                <w:rStyle w:val="Hipervnculo"/>
                <w:rFonts w:cs="Tahoma"/>
                <w:noProof/>
                <w:sz w:val="22"/>
                <w:szCs w:val="32"/>
              </w:rPr>
              <w:t>Intervención Pública 5: Fronteras seguras y desarticulación de redes internacionales o nacionales de tráfico y trata de personas.</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_Toc220401624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35</w:t>
            </w:r>
            <w:r w:rsidR="00C002CC" w:rsidRPr="008F3096">
              <w:rPr>
                <w:noProof/>
                <w:webHidden/>
                <w:sz w:val="22"/>
                <w:szCs w:val="32"/>
              </w:rPr>
              <w:fldChar w:fldCharType="end"/>
            </w:r>
          </w:hyperlink>
        </w:p>
        <w:p w14:paraId="0FF39097" w14:textId="12FB6C4E"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25" w:history="1">
            <w:r w:rsidR="00C002CC" w:rsidRPr="008F3096">
              <w:rPr>
                <w:rStyle w:val="Hipervnculo"/>
                <w:rFonts w:cs="Tahoma"/>
                <w:noProof/>
                <w:sz w:val="22"/>
                <w:szCs w:val="32"/>
              </w:rPr>
              <w:t>Intervención Pública 6: Modelo Preventivo de Gestión Policial.</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_Toc220401625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36</w:t>
            </w:r>
            <w:r w:rsidR="00C002CC" w:rsidRPr="008F3096">
              <w:rPr>
                <w:noProof/>
                <w:webHidden/>
                <w:sz w:val="22"/>
                <w:szCs w:val="32"/>
              </w:rPr>
              <w:fldChar w:fldCharType="end"/>
            </w:r>
          </w:hyperlink>
        </w:p>
        <w:p w14:paraId="0DFE9F2A" w14:textId="2DF1884F"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26" w:history="1">
            <w:r w:rsidR="00C002CC" w:rsidRPr="008F3096">
              <w:rPr>
                <w:rStyle w:val="Hipervnculo"/>
                <w:rFonts w:cs="Tahoma"/>
                <w:noProof/>
                <w:sz w:val="22"/>
                <w:szCs w:val="32"/>
              </w:rPr>
              <w:t>Intervención Pública 7: Lucha contra la criminalidad organizada</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_Toc220401626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38</w:t>
            </w:r>
            <w:r w:rsidR="00C002CC" w:rsidRPr="008F3096">
              <w:rPr>
                <w:noProof/>
                <w:webHidden/>
                <w:sz w:val="22"/>
                <w:szCs w:val="32"/>
              </w:rPr>
              <w:fldChar w:fldCharType="end"/>
            </w:r>
          </w:hyperlink>
        </w:p>
        <w:p w14:paraId="7C2CCB79" w14:textId="79EED02C" w:rsidR="00C002CC" w:rsidRPr="008F3096" w:rsidRDefault="00000000" w:rsidP="003D1A43">
          <w:pPr>
            <w:pStyle w:val="TDC2"/>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27" w:history="1">
            <w:r w:rsidR="00C002CC" w:rsidRPr="008F3096">
              <w:rPr>
                <w:rStyle w:val="Hipervnculo"/>
                <w:rFonts w:cs="Tahoma"/>
                <w:noProof/>
                <w:sz w:val="22"/>
                <w:szCs w:val="32"/>
              </w:rPr>
              <w:t>Intervención Pública 8: Estrategia de Protección efectiva, acceso real, debida diligencia y no re-victimización a mujeres víctimas de violencia de género.</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_Toc220401627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40</w:t>
            </w:r>
            <w:r w:rsidR="00C002CC" w:rsidRPr="008F3096">
              <w:rPr>
                <w:noProof/>
                <w:webHidden/>
                <w:sz w:val="22"/>
                <w:szCs w:val="32"/>
              </w:rPr>
              <w:fldChar w:fldCharType="end"/>
            </w:r>
          </w:hyperlink>
        </w:p>
        <w:p w14:paraId="5D86CA28" w14:textId="13D10243" w:rsidR="00C002CC" w:rsidRPr="008F3096" w:rsidRDefault="00000000" w:rsidP="003D1A43">
          <w:pPr>
            <w:pStyle w:val="TDC1"/>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28" w:history="1">
            <w:r w:rsidR="00C002CC" w:rsidRPr="008F3096">
              <w:rPr>
                <w:rStyle w:val="Hipervnculo"/>
                <w:rFonts w:cs="Tahoma"/>
                <w:noProof/>
                <w:sz w:val="22"/>
                <w:szCs w:val="32"/>
              </w:rPr>
              <w:t>3. Ficha técnica de indicadores Sectoriales</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_Toc220401628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41</w:t>
            </w:r>
            <w:r w:rsidR="00C002CC" w:rsidRPr="008F3096">
              <w:rPr>
                <w:noProof/>
                <w:webHidden/>
                <w:sz w:val="22"/>
                <w:szCs w:val="32"/>
              </w:rPr>
              <w:fldChar w:fldCharType="end"/>
            </w:r>
          </w:hyperlink>
        </w:p>
        <w:p w14:paraId="17063B46" w14:textId="2F50703E" w:rsidR="00C002CC" w:rsidRPr="008F3096" w:rsidRDefault="00000000" w:rsidP="003D1A43">
          <w:pPr>
            <w:pStyle w:val="TDC1"/>
            <w:tabs>
              <w:tab w:val="right" w:leader="dot" w:pos="9323"/>
            </w:tabs>
            <w:spacing w:line="276" w:lineRule="auto"/>
            <w:jc w:val="both"/>
            <w:rPr>
              <w:rFonts w:asciiTheme="minorHAnsi" w:eastAsiaTheme="minorEastAsia" w:hAnsiTheme="minorHAnsi"/>
              <w:noProof/>
              <w:kern w:val="2"/>
              <w:sz w:val="36"/>
              <w:szCs w:val="36"/>
              <w:lang w:eastAsia="es-CR"/>
              <w14:ligatures w14:val="standardContextual"/>
            </w:rPr>
          </w:pPr>
          <w:hyperlink w:anchor="_Toc220401629" w:history="1">
            <w:r w:rsidR="00C002CC" w:rsidRPr="008F3096">
              <w:rPr>
                <w:rStyle w:val="Hipervnculo"/>
                <w:rFonts w:cs="Tahoma"/>
                <w:noProof/>
                <w:sz w:val="22"/>
                <w:szCs w:val="32"/>
              </w:rPr>
              <w:t>4. Ficha técnica de indicadores de intervención pública actualizados</w:t>
            </w:r>
            <w:r w:rsidR="00C002CC" w:rsidRPr="008F3096">
              <w:rPr>
                <w:noProof/>
                <w:webHidden/>
                <w:sz w:val="22"/>
                <w:szCs w:val="32"/>
              </w:rPr>
              <w:tab/>
            </w:r>
            <w:r w:rsidR="00C002CC" w:rsidRPr="008F3096">
              <w:rPr>
                <w:noProof/>
                <w:webHidden/>
                <w:sz w:val="22"/>
                <w:szCs w:val="32"/>
              </w:rPr>
              <w:fldChar w:fldCharType="begin"/>
            </w:r>
            <w:r w:rsidR="00C002CC" w:rsidRPr="008F3096">
              <w:rPr>
                <w:noProof/>
                <w:webHidden/>
                <w:sz w:val="22"/>
                <w:szCs w:val="32"/>
              </w:rPr>
              <w:instrText xml:space="preserve"> PAGEREF _Toc220401629 \h </w:instrText>
            </w:r>
            <w:r w:rsidR="00C002CC" w:rsidRPr="008F3096">
              <w:rPr>
                <w:noProof/>
                <w:webHidden/>
                <w:sz w:val="22"/>
                <w:szCs w:val="32"/>
              </w:rPr>
            </w:r>
            <w:r w:rsidR="00C002CC" w:rsidRPr="008F3096">
              <w:rPr>
                <w:noProof/>
                <w:webHidden/>
                <w:sz w:val="22"/>
                <w:szCs w:val="32"/>
              </w:rPr>
              <w:fldChar w:fldCharType="separate"/>
            </w:r>
            <w:r w:rsidR="00450347">
              <w:rPr>
                <w:noProof/>
                <w:webHidden/>
                <w:sz w:val="22"/>
                <w:szCs w:val="32"/>
              </w:rPr>
              <w:t>46</w:t>
            </w:r>
            <w:r w:rsidR="00C002CC" w:rsidRPr="008F3096">
              <w:rPr>
                <w:noProof/>
                <w:webHidden/>
                <w:sz w:val="22"/>
                <w:szCs w:val="32"/>
              </w:rPr>
              <w:fldChar w:fldCharType="end"/>
            </w:r>
          </w:hyperlink>
        </w:p>
        <w:p w14:paraId="79B45F09" w14:textId="651C9EA1" w:rsidR="00106D96" w:rsidRPr="0073029B" w:rsidRDefault="00106D96" w:rsidP="007B1393">
          <w:pPr>
            <w:pStyle w:val="TDC2"/>
            <w:tabs>
              <w:tab w:val="right" w:leader="dot" w:pos="9323"/>
            </w:tabs>
            <w:spacing w:line="360" w:lineRule="auto"/>
            <w:jc w:val="both"/>
            <w:rPr>
              <w:rFonts w:cs="Tahoma"/>
              <w:sz w:val="24"/>
              <w:szCs w:val="24"/>
            </w:rPr>
          </w:pPr>
          <w:r w:rsidRPr="0073029B">
            <w:rPr>
              <w:rFonts w:cs="Tahoma"/>
              <w:b/>
              <w:bCs/>
              <w:sz w:val="24"/>
              <w:szCs w:val="24"/>
              <w:lang w:val="es-ES"/>
            </w:rPr>
            <w:fldChar w:fldCharType="end"/>
          </w:r>
        </w:p>
      </w:sdtContent>
    </w:sdt>
    <w:p w14:paraId="50703C1F" w14:textId="77777777" w:rsidR="00106D96" w:rsidRDefault="00106D96" w:rsidP="00971302">
      <w:pPr>
        <w:spacing w:after="0"/>
        <w:rPr>
          <w:rFonts w:cs="Tahoma"/>
          <w:b/>
          <w:color w:val="000000"/>
          <w:sz w:val="28"/>
          <w:szCs w:val="20"/>
        </w:rPr>
      </w:pPr>
    </w:p>
    <w:p w14:paraId="76A67495" w14:textId="77777777" w:rsidR="002F477A" w:rsidRDefault="002F477A" w:rsidP="00971302">
      <w:pPr>
        <w:spacing w:after="0"/>
        <w:rPr>
          <w:rFonts w:cs="Tahoma"/>
          <w:b/>
          <w:color w:val="000000"/>
          <w:sz w:val="28"/>
          <w:szCs w:val="20"/>
        </w:rPr>
      </w:pPr>
    </w:p>
    <w:p w14:paraId="4D7449EF" w14:textId="77777777" w:rsidR="002F477A" w:rsidRDefault="002F477A" w:rsidP="00971302">
      <w:pPr>
        <w:spacing w:after="0"/>
        <w:rPr>
          <w:rFonts w:cs="Tahoma"/>
          <w:b/>
          <w:color w:val="000000"/>
          <w:sz w:val="28"/>
          <w:szCs w:val="20"/>
        </w:rPr>
      </w:pPr>
    </w:p>
    <w:p w14:paraId="72A052ED" w14:textId="27C5ED36" w:rsidR="00B14FCD" w:rsidRPr="0073029B" w:rsidRDefault="00B14FCD" w:rsidP="00600616">
      <w:pPr>
        <w:pStyle w:val="Ttulo1"/>
        <w:jc w:val="center"/>
        <w:rPr>
          <w:rFonts w:cs="Tahoma"/>
          <w:b w:val="0"/>
        </w:rPr>
      </w:pPr>
      <w:bookmarkStart w:id="3" w:name="_Toc220401610"/>
      <w:r w:rsidRPr="0073029B">
        <w:rPr>
          <w:rFonts w:cs="Tahoma"/>
        </w:rPr>
        <w:lastRenderedPageBreak/>
        <w:t>Presentación</w:t>
      </w:r>
      <w:bookmarkEnd w:id="3"/>
    </w:p>
    <w:p w14:paraId="77B05C49" w14:textId="77777777" w:rsidR="002478C3" w:rsidRPr="0073029B" w:rsidRDefault="002478C3" w:rsidP="002478C3">
      <w:pPr>
        <w:spacing w:after="0" w:line="360" w:lineRule="auto"/>
        <w:jc w:val="both"/>
        <w:rPr>
          <w:rFonts w:cs="Tahoma"/>
          <w:color w:val="000000"/>
          <w:sz w:val="22"/>
        </w:rPr>
      </w:pPr>
    </w:p>
    <w:p w14:paraId="74A495D8" w14:textId="5A820B86" w:rsidR="0083579A" w:rsidRPr="0083579A" w:rsidRDefault="003830FE" w:rsidP="0083579A">
      <w:pPr>
        <w:spacing w:after="0" w:line="360" w:lineRule="auto"/>
        <w:jc w:val="both"/>
        <w:rPr>
          <w:rFonts w:cs="Tahoma"/>
          <w:color w:val="000000"/>
          <w:sz w:val="22"/>
        </w:rPr>
      </w:pPr>
      <w:r w:rsidRPr="002144BE">
        <w:rPr>
          <w:rFonts w:cs="Tahoma"/>
          <w:color w:val="000000"/>
          <w:sz w:val="22"/>
        </w:rPr>
        <w:t xml:space="preserve">El Informe de Seguimiento Anual 2025 del Plan Nacional de Desarrollo y de Inversión Pública (PNDIP) 2023–2026 “Rogelio Fernández Güell”, correspondiente al Sector Seguridad Ciudadana y Justicia, </w:t>
      </w:r>
      <w:r w:rsidR="0083579A" w:rsidRPr="0083579A">
        <w:rPr>
          <w:rFonts w:cs="Tahoma"/>
          <w:color w:val="000000"/>
          <w:sz w:val="22"/>
        </w:rPr>
        <w:t>se elabora en cumplimiento de lo dispuesto en el siguiente marco normativo y metodológico:</w:t>
      </w:r>
    </w:p>
    <w:p w14:paraId="69158417" w14:textId="77777777" w:rsidR="0083579A" w:rsidRPr="0083579A" w:rsidRDefault="0083579A" w:rsidP="0083579A">
      <w:pPr>
        <w:numPr>
          <w:ilvl w:val="0"/>
          <w:numId w:val="41"/>
        </w:numPr>
        <w:spacing w:after="0" w:line="360" w:lineRule="auto"/>
        <w:jc w:val="both"/>
        <w:rPr>
          <w:rFonts w:cs="Tahoma"/>
          <w:color w:val="000000"/>
          <w:sz w:val="22"/>
        </w:rPr>
      </w:pPr>
      <w:r w:rsidRPr="0083579A">
        <w:rPr>
          <w:rFonts w:cs="Tahoma"/>
          <w:color w:val="000000"/>
          <w:sz w:val="22"/>
        </w:rPr>
        <w:t xml:space="preserve">Ley de Administración Financiera de la República y Presupuestos Públicos y su Reglamento, Ley </w:t>
      </w:r>
      <w:proofErr w:type="spellStart"/>
      <w:r w:rsidRPr="0083579A">
        <w:rPr>
          <w:rFonts w:cs="Tahoma"/>
          <w:color w:val="000000"/>
          <w:sz w:val="22"/>
        </w:rPr>
        <w:t>N.°</w:t>
      </w:r>
      <w:proofErr w:type="spellEnd"/>
      <w:r w:rsidRPr="0083579A">
        <w:rPr>
          <w:rFonts w:cs="Tahoma"/>
          <w:color w:val="000000"/>
          <w:sz w:val="22"/>
        </w:rPr>
        <w:t xml:space="preserve"> 8131.</w:t>
      </w:r>
    </w:p>
    <w:p w14:paraId="797953AC" w14:textId="77777777" w:rsidR="0083579A" w:rsidRPr="0083579A" w:rsidRDefault="0083579A" w:rsidP="0083579A">
      <w:pPr>
        <w:numPr>
          <w:ilvl w:val="0"/>
          <w:numId w:val="41"/>
        </w:numPr>
        <w:spacing w:after="0" w:line="360" w:lineRule="auto"/>
        <w:jc w:val="both"/>
        <w:rPr>
          <w:rFonts w:cs="Tahoma"/>
          <w:color w:val="000000"/>
          <w:sz w:val="22"/>
        </w:rPr>
      </w:pPr>
      <w:r w:rsidRPr="0083579A">
        <w:rPr>
          <w:rFonts w:cs="Tahoma"/>
          <w:color w:val="000000"/>
          <w:sz w:val="22"/>
        </w:rPr>
        <w:t xml:space="preserve">Ley de Planificación Nacional y su Reglamento, Ley </w:t>
      </w:r>
      <w:proofErr w:type="spellStart"/>
      <w:r w:rsidRPr="0083579A">
        <w:rPr>
          <w:rFonts w:cs="Tahoma"/>
          <w:color w:val="000000"/>
          <w:sz w:val="22"/>
        </w:rPr>
        <w:t>N.°</w:t>
      </w:r>
      <w:proofErr w:type="spellEnd"/>
      <w:r w:rsidRPr="0083579A">
        <w:rPr>
          <w:rFonts w:cs="Tahoma"/>
          <w:color w:val="000000"/>
          <w:sz w:val="22"/>
        </w:rPr>
        <w:t xml:space="preserve"> 5525.</w:t>
      </w:r>
    </w:p>
    <w:p w14:paraId="3E8BEE36" w14:textId="77777777" w:rsidR="0083579A" w:rsidRPr="0083579A" w:rsidRDefault="0083579A" w:rsidP="0083579A">
      <w:pPr>
        <w:numPr>
          <w:ilvl w:val="0"/>
          <w:numId w:val="41"/>
        </w:numPr>
        <w:spacing w:after="0" w:line="360" w:lineRule="auto"/>
        <w:jc w:val="both"/>
        <w:rPr>
          <w:rFonts w:cs="Tahoma"/>
          <w:color w:val="000000"/>
          <w:sz w:val="22"/>
        </w:rPr>
      </w:pPr>
      <w:r w:rsidRPr="0083579A">
        <w:rPr>
          <w:rFonts w:cs="Tahoma"/>
          <w:color w:val="000000"/>
          <w:sz w:val="22"/>
        </w:rPr>
        <w:t>Lineamientos técnicos y metodológicos para la planificación, programación presupuestaria, seguimiento y evaluación estratégica en el sector público en Costa Rica, emitidos por el Ministerio de Hacienda (MH) y el Ministerio de Planificación Nacional y Política Económica (</w:t>
      </w:r>
      <w:proofErr w:type="spellStart"/>
      <w:r w:rsidRPr="0083579A">
        <w:rPr>
          <w:rFonts w:cs="Tahoma"/>
          <w:color w:val="000000"/>
          <w:sz w:val="22"/>
        </w:rPr>
        <w:t>Mideplan</w:t>
      </w:r>
      <w:proofErr w:type="spellEnd"/>
      <w:r w:rsidRPr="0083579A">
        <w:rPr>
          <w:rFonts w:cs="Tahoma"/>
          <w:color w:val="000000"/>
          <w:sz w:val="22"/>
        </w:rPr>
        <w:t>), en el marco de la Gestión para Resultados en el Desarrollo.</w:t>
      </w:r>
    </w:p>
    <w:p w14:paraId="193E69DB" w14:textId="77777777" w:rsidR="0083579A" w:rsidRPr="0083579A" w:rsidRDefault="0083579A" w:rsidP="0083579A">
      <w:pPr>
        <w:numPr>
          <w:ilvl w:val="0"/>
          <w:numId w:val="41"/>
        </w:numPr>
        <w:spacing w:after="0" w:line="360" w:lineRule="auto"/>
        <w:jc w:val="both"/>
        <w:rPr>
          <w:rFonts w:cs="Tahoma"/>
          <w:color w:val="000000"/>
          <w:sz w:val="22"/>
        </w:rPr>
      </w:pPr>
      <w:r w:rsidRPr="0083579A">
        <w:rPr>
          <w:rFonts w:cs="Tahoma"/>
          <w:color w:val="000000"/>
          <w:sz w:val="22"/>
        </w:rPr>
        <w:t>Lineamiento Metodológico – Insumos para elaborar el seguimiento del Plan Nacional de Desarrollo y de Inversión Pública (PNDIP) 2023–2026.</w:t>
      </w:r>
    </w:p>
    <w:p w14:paraId="0A6FC10A" w14:textId="77777777" w:rsidR="0083579A" w:rsidRPr="0083579A" w:rsidRDefault="0083579A" w:rsidP="0083579A">
      <w:pPr>
        <w:numPr>
          <w:ilvl w:val="0"/>
          <w:numId w:val="41"/>
        </w:numPr>
        <w:spacing w:after="0" w:line="360" w:lineRule="auto"/>
        <w:jc w:val="both"/>
        <w:rPr>
          <w:rFonts w:cs="Tahoma"/>
          <w:color w:val="000000"/>
          <w:sz w:val="22"/>
        </w:rPr>
      </w:pPr>
      <w:r w:rsidRPr="0083579A">
        <w:rPr>
          <w:rFonts w:cs="Tahoma"/>
          <w:color w:val="000000"/>
          <w:sz w:val="22"/>
        </w:rPr>
        <w:t>Procedimiento sectorial MP-SSCJ-02: Seguimiento de metas de las instituciones del Sector Seguridad Ciudadana y Justicia incluidas en el Plan Nacional de Desarrollo y de Inversión Pública.</w:t>
      </w:r>
    </w:p>
    <w:p w14:paraId="7C4D653C" w14:textId="0AF53E25" w:rsidR="0083579A" w:rsidRPr="0083579A" w:rsidRDefault="0083579A" w:rsidP="0083579A">
      <w:pPr>
        <w:numPr>
          <w:ilvl w:val="0"/>
          <w:numId w:val="41"/>
        </w:numPr>
        <w:spacing w:after="0" w:line="360" w:lineRule="auto"/>
        <w:jc w:val="both"/>
        <w:rPr>
          <w:rFonts w:cs="Tahoma"/>
          <w:color w:val="000000"/>
          <w:sz w:val="22"/>
        </w:rPr>
      </w:pPr>
      <w:r w:rsidRPr="0083579A">
        <w:rPr>
          <w:rFonts w:cs="Tahoma"/>
          <w:color w:val="000000"/>
          <w:sz w:val="22"/>
        </w:rPr>
        <w:t xml:space="preserve">Oficio </w:t>
      </w:r>
      <w:r w:rsidR="00826818" w:rsidRPr="00826818">
        <w:rPr>
          <w:rFonts w:cs="Tahoma"/>
          <w:color w:val="000000"/>
          <w:sz w:val="22"/>
        </w:rPr>
        <w:t>CARTA-MIDEPLAN-DM-</w:t>
      </w:r>
      <w:r w:rsidR="00826818" w:rsidRPr="009B1A34">
        <w:rPr>
          <w:rFonts w:cs="Tahoma"/>
          <w:color w:val="000000"/>
          <w:sz w:val="22"/>
        </w:rPr>
        <w:t>1103-2025</w:t>
      </w:r>
      <w:r w:rsidRPr="0083579A">
        <w:rPr>
          <w:rFonts w:cs="Tahoma"/>
          <w:color w:val="000000"/>
          <w:sz w:val="22"/>
        </w:rPr>
        <w:t xml:space="preserve">, mediante el cual </w:t>
      </w:r>
      <w:proofErr w:type="spellStart"/>
      <w:proofErr w:type="gramStart"/>
      <w:r w:rsidR="00442693">
        <w:rPr>
          <w:rFonts w:cs="Tahoma"/>
          <w:color w:val="000000"/>
          <w:sz w:val="22"/>
        </w:rPr>
        <w:t>Mideplan</w:t>
      </w:r>
      <w:proofErr w:type="spellEnd"/>
      <w:r w:rsidR="00442693">
        <w:rPr>
          <w:rFonts w:cs="Tahoma"/>
          <w:color w:val="000000"/>
          <w:sz w:val="22"/>
        </w:rPr>
        <w:t xml:space="preserve"> </w:t>
      </w:r>
      <w:r w:rsidRPr="0083579A">
        <w:rPr>
          <w:rFonts w:cs="Tahoma"/>
          <w:color w:val="000000"/>
          <w:sz w:val="22"/>
        </w:rPr>
        <w:t xml:space="preserve"> solicitó</w:t>
      </w:r>
      <w:proofErr w:type="gramEnd"/>
      <w:r w:rsidRPr="0083579A">
        <w:rPr>
          <w:rFonts w:cs="Tahoma"/>
          <w:color w:val="000000"/>
          <w:sz w:val="22"/>
        </w:rPr>
        <w:t xml:space="preserve"> información sobre el cumplimiento de las metas</w:t>
      </w:r>
      <w:r w:rsidR="009B1A34" w:rsidRPr="009B1A34">
        <w:rPr>
          <w:rFonts w:cs="Tahoma"/>
          <w:color w:val="000000"/>
          <w:sz w:val="22"/>
        </w:rPr>
        <w:t xml:space="preserve"> programadas en el 2025</w:t>
      </w:r>
      <w:r w:rsidRPr="0083579A">
        <w:rPr>
          <w:rFonts w:cs="Tahoma"/>
          <w:color w:val="000000"/>
          <w:sz w:val="22"/>
        </w:rPr>
        <w:t xml:space="preserve"> </w:t>
      </w:r>
      <w:r w:rsidR="00442693">
        <w:rPr>
          <w:rFonts w:cs="Tahoma"/>
          <w:color w:val="000000"/>
          <w:sz w:val="22"/>
        </w:rPr>
        <w:t xml:space="preserve">en el </w:t>
      </w:r>
      <w:r w:rsidRPr="0083579A">
        <w:rPr>
          <w:rFonts w:cs="Tahoma"/>
          <w:color w:val="000000"/>
          <w:sz w:val="22"/>
        </w:rPr>
        <w:t>PNDIP.</w:t>
      </w:r>
    </w:p>
    <w:p w14:paraId="63D86E68" w14:textId="77777777" w:rsidR="00B541F4" w:rsidRPr="00B541F4" w:rsidRDefault="00B541F4" w:rsidP="00B541F4">
      <w:pPr>
        <w:spacing w:after="0" w:line="360" w:lineRule="auto"/>
        <w:jc w:val="both"/>
        <w:rPr>
          <w:rFonts w:cs="Tahoma"/>
          <w:color w:val="000000"/>
          <w:sz w:val="22"/>
        </w:rPr>
      </w:pPr>
    </w:p>
    <w:p w14:paraId="7B88705F" w14:textId="36DAE842" w:rsidR="002144BE" w:rsidRPr="002144BE" w:rsidRDefault="009A36A0" w:rsidP="002144BE">
      <w:pPr>
        <w:spacing w:after="0" w:line="360" w:lineRule="auto"/>
        <w:jc w:val="both"/>
        <w:rPr>
          <w:rFonts w:cs="Tahoma"/>
          <w:color w:val="000000"/>
          <w:sz w:val="22"/>
        </w:rPr>
      </w:pPr>
      <w:r w:rsidRPr="009A36A0">
        <w:rPr>
          <w:rFonts w:cs="Tahoma"/>
          <w:color w:val="000000"/>
          <w:sz w:val="22"/>
        </w:rPr>
        <w:t>El informe presenta el análisis del desempeño y los resultados alcanzados en las metas sectoriales y las metas de intervención pública al 31 de diciembre de 2025, con base en la información reportada por las instituciones responsables, la cual fue revisada y validada por la Secretaría de Planificación Sectorial del Sector Seguridad Ciudadana y Justicia.</w:t>
      </w:r>
    </w:p>
    <w:p w14:paraId="3C4BDC9B" w14:textId="77777777" w:rsidR="002144BE" w:rsidRPr="002144BE" w:rsidRDefault="002144BE" w:rsidP="002144BE">
      <w:pPr>
        <w:spacing w:after="0" w:line="360" w:lineRule="auto"/>
        <w:jc w:val="both"/>
        <w:rPr>
          <w:rFonts w:cs="Tahoma"/>
          <w:color w:val="000000"/>
          <w:sz w:val="22"/>
        </w:rPr>
      </w:pPr>
    </w:p>
    <w:p w14:paraId="455AF5F5" w14:textId="383D7D37" w:rsidR="002144BE" w:rsidRPr="002144BE" w:rsidRDefault="002144BE" w:rsidP="002144BE">
      <w:pPr>
        <w:spacing w:after="0" w:line="360" w:lineRule="auto"/>
        <w:jc w:val="both"/>
        <w:rPr>
          <w:rFonts w:cs="Tahoma"/>
          <w:color w:val="000000"/>
          <w:sz w:val="22"/>
        </w:rPr>
      </w:pPr>
      <w:r w:rsidRPr="002144BE">
        <w:rPr>
          <w:rFonts w:cs="Tahoma"/>
          <w:color w:val="000000"/>
          <w:sz w:val="22"/>
        </w:rPr>
        <w:t xml:space="preserve">Durante el período </w:t>
      </w:r>
      <w:r w:rsidR="001358E8">
        <w:rPr>
          <w:rFonts w:cs="Tahoma"/>
          <w:color w:val="000000"/>
          <w:sz w:val="22"/>
        </w:rPr>
        <w:t>se seguimiento</w:t>
      </w:r>
      <w:r w:rsidRPr="002144BE">
        <w:rPr>
          <w:rFonts w:cs="Tahoma"/>
          <w:color w:val="000000"/>
          <w:sz w:val="22"/>
        </w:rPr>
        <w:t>, el Sector registró avances relevantes en el cumplimiento de los objetivos estratégicos orientados al fortalecimiento de la seguridad ciudadana, la prevención de la violencia</w:t>
      </w:r>
      <w:r w:rsidR="00C01479">
        <w:rPr>
          <w:rFonts w:cs="Tahoma"/>
          <w:color w:val="000000"/>
          <w:sz w:val="22"/>
        </w:rPr>
        <w:t xml:space="preserve"> y </w:t>
      </w:r>
      <w:r w:rsidRPr="002144BE">
        <w:rPr>
          <w:rFonts w:cs="Tahoma"/>
          <w:color w:val="000000"/>
          <w:sz w:val="22"/>
        </w:rPr>
        <w:t>la atención de poblaciones en condición de vulnerabilidad, evidenciando resultados positivos en la mayoría de los indicadores analizados.</w:t>
      </w:r>
    </w:p>
    <w:p w14:paraId="4D9A9510" w14:textId="77777777" w:rsidR="002144BE" w:rsidRPr="002144BE" w:rsidRDefault="002144BE" w:rsidP="002144BE">
      <w:pPr>
        <w:spacing w:after="0" w:line="360" w:lineRule="auto"/>
        <w:jc w:val="both"/>
        <w:rPr>
          <w:rFonts w:cs="Tahoma"/>
          <w:color w:val="000000"/>
          <w:sz w:val="22"/>
        </w:rPr>
      </w:pPr>
    </w:p>
    <w:p w14:paraId="3E557794" w14:textId="5F8207F2" w:rsidR="002144BE" w:rsidRPr="002144BE" w:rsidRDefault="00C01479" w:rsidP="002144BE">
      <w:pPr>
        <w:spacing w:after="0" w:line="360" w:lineRule="auto"/>
        <w:jc w:val="both"/>
        <w:rPr>
          <w:rFonts w:cs="Tahoma"/>
          <w:color w:val="000000"/>
          <w:sz w:val="22"/>
        </w:rPr>
      </w:pPr>
      <w:r>
        <w:rPr>
          <w:rFonts w:cs="Tahoma"/>
          <w:color w:val="000000"/>
          <w:sz w:val="22"/>
        </w:rPr>
        <w:t>Con respeto a las</w:t>
      </w:r>
      <w:r w:rsidR="002144BE" w:rsidRPr="002144BE">
        <w:rPr>
          <w:rFonts w:cs="Tahoma"/>
          <w:color w:val="000000"/>
          <w:sz w:val="22"/>
        </w:rPr>
        <w:t xml:space="preserve"> metas sectoriales, se alcanzó un cumplimiento alto en los dos indicadores evaluados. Destaca la reducción sostenida de la tasa de delitos por cada 100.000 habitantes, que pasó de 938,94 en 2023 a 780,02 en 2025, lo que representa una disminución acumulada del 16,92 % en el período. Esta reducción se refleja principalmente en los delitos de asalto, hurto y robo, los cuales presentaron descensos significativos. No obstante, el análisis evidencia que la tasa de homicidios, aunque mostró una leve reducción, se mantiene por encima del rango meta establecido, constituyéndose en el principal desafío pendiente en materia de seguridad ciudadana.</w:t>
      </w:r>
    </w:p>
    <w:p w14:paraId="6FD950C3" w14:textId="77777777" w:rsidR="002144BE" w:rsidRPr="002144BE" w:rsidRDefault="002144BE" w:rsidP="002144BE">
      <w:pPr>
        <w:spacing w:after="0" w:line="360" w:lineRule="auto"/>
        <w:jc w:val="both"/>
        <w:rPr>
          <w:rFonts w:cs="Tahoma"/>
          <w:color w:val="000000"/>
          <w:sz w:val="22"/>
        </w:rPr>
      </w:pPr>
    </w:p>
    <w:p w14:paraId="7EFC4D89" w14:textId="39CA9CDF" w:rsidR="002144BE" w:rsidRPr="002144BE" w:rsidRDefault="002144BE" w:rsidP="002144BE">
      <w:pPr>
        <w:spacing w:after="0" w:line="360" w:lineRule="auto"/>
        <w:jc w:val="both"/>
        <w:rPr>
          <w:rFonts w:cs="Tahoma"/>
          <w:color w:val="000000"/>
          <w:sz w:val="22"/>
        </w:rPr>
      </w:pPr>
      <w:r w:rsidRPr="002144BE">
        <w:rPr>
          <w:rFonts w:cs="Tahoma"/>
          <w:color w:val="000000"/>
          <w:sz w:val="22"/>
        </w:rPr>
        <w:t xml:space="preserve">Asimismo, el indicador </w:t>
      </w:r>
      <w:r w:rsidR="00864EF9">
        <w:rPr>
          <w:rFonts w:cs="Tahoma"/>
          <w:color w:val="000000"/>
          <w:sz w:val="22"/>
        </w:rPr>
        <w:t>“</w:t>
      </w:r>
      <w:r w:rsidR="00864EF9" w:rsidRPr="00FF2CC6">
        <w:rPr>
          <w:rFonts w:cs="Tahoma"/>
          <w:sz w:val="22"/>
        </w:rPr>
        <w:t>Porcentaje de avance en la ejecución de la Estrategia Nacional para el Combate del Acoso y Hostigamiento Sexual contra las Mujeres, con respecto a los cinco ejes de trabajo. (RUTA DE GÉNERO)</w:t>
      </w:r>
      <w:r w:rsidR="00864EF9">
        <w:rPr>
          <w:rFonts w:cs="Tahoma"/>
          <w:sz w:val="22"/>
        </w:rPr>
        <w:t>”</w:t>
      </w:r>
      <w:r w:rsidRPr="002144BE">
        <w:rPr>
          <w:rFonts w:cs="Tahoma"/>
          <w:color w:val="000000"/>
          <w:sz w:val="22"/>
        </w:rPr>
        <w:t>, alcanzó un cumplimiento alto</w:t>
      </w:r>
      <w:r w:rsidR="003B7D20">
        <w:rPr>
          <w:rFonts w:cs="Tahoma"/>
          <w:color w:val="000000"/>
          <w:sz w:val="22"/>
        </w:rPr>
        <w:t xml:space="preserve"> (100%)</w:t>
      </w:r>
      <w:r w:rsidRPr="002144BE">
        <w:rPr>
          <w:rFonts w:cs="Tahoma"/>
          <w:color w:val="000000"/>
          <w:sz w:val="22"/>
        </w:rPr>
        <w:t>, producto de la implementación de mecanismos de auxilio, el fortalecimiento de estrategias de comunicación y la habilitación de espacios seguros, lo cual contribuye a la prevención, atención y protección de las mujeres frente a situaciones de violencia de género.</w:t>
      </w:r>
    </w:p>
    <w:p w14:paraId="303774FC" w14:textId="77777777" w:rsidR="002144BE" w:rsidRPr="002144BE" w:rsidRDefault="002144BE" w:rsidP="002144BE">
      <w:pPr>
        <w:spacing w:after="0" w:line="360" w:lineRule="auto"/>
        <w:jc w:val="both"/>
        <w:rPr>
          <w:rFonts w:cs="Tahoma"/>
          <w:color w:val="000000"/>
          <w:sz w:val="22"/>
        </w:rPr>
      </w:pPr>
    </w:p>
    <w:p w14:paraId="5A8FB6E5" w14:textId="7FE7B376" w:rsidR="002144BE" w:rsidRPr="002144BE" w:rsidRDefault="002144BE" w:rsidP="002144BE">
      <w:pPr>
        <w:spacing w:after="0" w:line="360" w:lineRule="auto"/>
        <w:jc w:val="both"/>
        <w:rPr>
          <w:rFonts w:cs="Tahoma"/>
          <w:color w:val="000000"/>
          <w:sz w:val="22"/>
        </w:rPr>
      </w:pPr>
      <w:r w:rsidRPr="002144BE">
        <w:rPr>
          <w:rFonts w:cs="Tahoma"/>
          <w:color w:val="000000"/>
          <w:sz w:val="22"/>
        </w:rPr>
        <w:t xml:space="preserve">En cuanto a las metas de intervención pública, durante el año 2025 se evaluaron dieciséis metas, de las cuales </w:t>
      </w:r>
      <w:r w:rsidR="000F0322">
        <w:rPr>
          <w:rFonts w:cs="Tahoma"/>
          <w:color w:val="000000"/>
          <w:sz w:val="22"/>
        </w:rPr>
        <w:t>d</w:t>
      </w:r>
      <w:r w:rsidR="004E4C42">
        <w:rPr>
          <w:rFonts w:cs="Tahoma"/>
          <w:color w:val="000000"/>
          <w:sz w:val="22"/>
        </w:rPr>
        <w:t>oce</w:t>
      </w:r>
      <w:r w:rsidRPr="002144BE">
        <w:rPr>
          <w:rFonts w:cs="Tahoma"/>
          <w:color w:val="000000"/>
          <w:sz w:val="22"/>
        </w:rPr>
        <w:t xml:space="preserve"> alcanzaron un nivel de cumplimiento alto y </w:t>
      </w:r>
      <w:r w:rsidR="004E4C42">
        <w:rPr>
          <w:rFonts w:cs="Tahoma"/>
          <w:color w:val="000000"/>
          <w:sz w:val="22"/>
        </w:rPr>
        <w:t>cuatro</w:t>
      </w:r>
      <w:r w:rsidRPr="002144BE">
        <w:rPr>
          <w:rFonts w:cs="Tahoma"/>
          <w:color w:val="000000"/>
          <w:sz w:val="22"/>
        </w:rPr>
        <w:t xml:space="preserve"> registraron cumplimiento medio. Entre los principales resultados destacan el fortalecimiento del Sistema Penitenciario Nacional, mediante la participación de personas privadas de libertad en procesos de atención orientados a la inserción social integral, superando ampliamente la meta programada; la implementación de programas de prevención de la violencia y fortalecimiento de la seguridad ciudadana, incluyendo el avance en la infraestructura y operación de los Centros Cívicos por la Paz; y la atención integral de víctimas de trata de personas y de mujeres en situación de violencia, mediante acciones de protección, orientación psicosocial y articulación interinstitucional.</w:t>
      </w:r>
    </w:p>
    <w:p w14:paraId="566856BE" w14:textId="77777777" w:rsidR="002144BE" w:rsidRPr="002144BE" w:rsidRDefault="002144BE" w:rsidP="002144BE">
      <w:pPr>
        <w:spacing w:after="0" w:line="360" w:lineRule="auto"/>
        <w:jc w:val="both"/>
        <w:rPr>
          <w:rFonts w:cs="Tahoma"/>
          <w:color w:val="000000"/>
          <w:sz w:val="22"/>
        </w:rPr>
      </w:pPr>
    </w:p>
    <w:p w14:paraId="24EE7E26" w14:textId="2895BDA6" w:rsidR="002144BE" w:rsidRDefault="006D598E" w:rsidP="002144BE">
      <w:pPr>
        <w:spacing w:after="0" w:line="360" w:lineRule="auto"/>
        <w:jc w:val="both"/>
        <w:rPr>
          <w:rFonts w:cs="Tahoma"/>
          <w:color w:val="000000"/>
          <w:sz w:val="22"/>
        </w:rPr>
      </w:pPr>
      <w:r w:rsidRPr="006D598E">
        <w:rPr>
          <w:rFonts w:cs="Tahoma"/>
          <w:color w:val="000000"/>
          <w:sz w:val="22"/>
        </w:rPr>
        <w:t>De igual forma, se evidencian resultados relevantes en la lucha contra la criminalidad organizada, reflejados en la desarticulación de 26 estructuras criminales nacionales y 169 internacionales</w:t>
      </w:r>
      <w:r w:rsidR="00A61441">
        <w:rPr>
          <w:rFonts w:cs="Tahoma"/>
          <w:color w:val="000000"/>
          <w:sz w:val="22"/>
        </w:rPr>
        <w:t xml:space="preserve"> </w:t>
      </w:r>
      <w:r w:rsidR="00A61441" w:rsidRPr="00A61441">
        <w:rPr>
          <w:rFonts w:cs="Tahoma"/>
          <w:color w:val="000000"/>
          <w:sz w:val="22"/>
        </w:rPr>
        <w:t>dedicadas al tráfico de drogas ilícitas</w:t>
      </w:r>
      <w:r w:rsidRPr="006D598E">
        <w:rPr>
          <w:rFonts w:cs="Tahoma"/>
          <w:color w:val="000000"/>
          <w:sz w:val="22"/>
        </w:rPr>
        <w:t xml:space="preserve">, la incautación de armas, drogas y recursos financieros, así como en el fortalecimiento de las acciones policiales focalizadas en territorios prioritarios, lo cual </w:t>
      </w:r>
      <w:r w:rsidRPr="006D598E">
        <w:rPr>
          <w:rFonts w:cs="Tahoma"/>
          <w:color w:val="000000"/>
          <w:sz w:val="22"/>
        </w:rPr>
        <w:lastRenderedPageBreak/>
        <w:t>contribuye al debilitamiento de las organizaciones delictivas y al fortalecimiento de la seguridad ciudadana a nivel nacional.</w:t>
      </w:r>
    </w:p>
    <w:p w14:paraId="56818DFB" w14:textId="77777777" w:rsidR="006D598E" w:rsidRPr="002144BE" w:rsidRDefault="006D598E" w:rsidP="002144BE">
      <w:pPr>
        <w:spacing w:after="0" w:line="360" w:lineRule="auto"/>
        <w:jc w:val="both"/>
        <w:rPr>
          <w:rFonts w:cs="Tahoma"/>
          <w:color w:val="000000"/>
          <w:sz w:val="22"/>
        </w:rPr>
      </w:pPr>
    </w:p>
    <w:p w14:paraId="32627204" w14:textId="77777777" w:rsidR="0046043F" w:rsidRPr="0046043F" w:rsidRDefault="0046043F" w:rsidP="0046043F">
      <w:pPr>
        <w:spacing w:after="0" w:line="360" w:lineRule="auto"/>
        <w:jc w:val="both"/>
        <w:rPr>
          <w:rFonts w:cs="Tahoma"/>
          <w:color w:val="000000"/>
          <w:sz w:val="22"/>
        </w:rPr>
      </w:pPr>
      <w:r w:rsidRPr="0046043F">
        <w:rPr>
          <w:rFonts w:cs="Tahoma"/>
          <w:color w:val="000000"/>
          <w:sz w:val="22"/>
        </w:rPr>
        <w:t>Las metas que registraron un nivel de cumplimiento medio corresponden a las siguientes:</w:t>
      </w:r>
    </w:p>
    <w:p w14:paraId="5C58FC3F" w14:textId="77777777" w:rsidR="00452453" w:rsidRDefault="0046043F" w:rsidP="0046043F">
      <w:pPr>
        <w:numPr>
          <w:ilvl w:val="0"/>
          <w:numId w:val="42"/>
        </w:numPr>
        <w:spacing w:after="0" w:line="360" w:lineRule="auto"/>
        <w:jc w:val="both"/>
        <w:rPr>
          <w:rFonts w:cs="Tahoma"/>
          <w:color w:val="000000"/>
          <w:sz w:val="22"/>
        </w:rPr>
      </w:pPr>
      <w:r w:rsidRPr="0046043F">
        <w:rPr>
          <w:rFonts w:cs="Tahoma"/>
          <w:color w:val="000000"/>
          <w:sz w:val="22"/>
        </w:rPr>
        <w:t>Promedio mensual de personas privadas de libertad que participan en actividades ocupacionales remuneradas y autogestionarias dentro del Sistema Penitenciario Nacional, el cual presentó cumplimiento medio tanto a nivel nacional como en las regiones Central y Brunca.</w:t>
      </w:r>
    </w:p>
    <w:p w14:paraId="79CE27BD" w14:textId="77777777" w:rsidR="00452453" w:rsidRDefault="00452453" w:rsidP="0046043F">
      <w:pPr>
        <w:numPr>
          <w:ilvl w:val="0"/>
          <w:numId w:val="42"/>
        </w:numPr>
        <w:spacing w:after="0" w:line="360" w:lineRule="auto"/>
        <w:jc w:val="both"/>
        <w:rPr>
          <w:rFonts w:cs="Tahoma"/>
          <w:color w:val="000000"/>
          <w:sz w:val="22"/>
        </w:rPr>
      </w:pPr>
      <w:r w:rsidRPr="00452453">
        <w:rPr>
          <w:rFonts w:cs="Tahoma"/>
          <w:color w:val="000000"/>
          <w:sz w:val="22"/>
        </w:rPr>
        <w:t xml:space="preserve">Porcentaje acumulado de personas extranjeras que tramitan regularización migratoria a través del programa </w:t>
      </w:r>
      <w:proofErr w:type="spellStart"/>
      <w:r w:rsidRPr="00452453">
        <w:rPr>
          <w:rFonts w:cs="Tahoma"/>
          <w:color w:val="000000"/>
          <w:sz w:val="22"/>
        </w:rPr>
        <w:t>migramóvil</w:t>
      </w:r>
      <w:proofErr w:type="spellEnd"/>
      <w:r w:rsidRPr="00452453">
        <w:rPr>
          <w:rFonts w:cs="Tahoma"/>
          <w:color w:val="000000"/>
          <w:sz w:val="22"/>
        </w:rPr>
        <w:t xml:space="preserve">. </w:t>
      </w:r>
    </w:p>
    <w:p w14:paraId="089FE912" w14:textId="77777777" w:rsidR="00452453" w:rsidRDefault="00452453" w:rsidP="0046043F">
      <w:pPr>
        <w:numPr>
          <w:ilvl w:val="0"/>
          <w:numId w:val="42"/>
        </w:numPr>
        <w:spacing w:after="0" w:line="360" w:lineRule="auto"/>
        <w:jc w:val="both"/>
        <w:rPr>
          <w:rFonts w:cs="Tahoma"/>
          <w:color w:val="000000"/>
          <w:sz w:val="22"/>
        </w:rPr>
      </w:pPr>
      <w:r w:rsidRPr="00452453">
        <w:rPr>
          <w:rFonts w:cs="Tahoma"/>
          <w:color w:val="000000"/>
          <w:sz w:val="22"/>
        </w:rPr>
        <w:t xml:space="preserve">Cantidad de redes de crimen organizado sobre trata de personas o tráfico ilícito de migrantes o actividades conexas desarticuladas. </w:t>
      </w:r>
    </w:p>
    <w:p w14:paraId="4BFB6A56" w14:textId="79BD1DE5" w:rsidR="0046043F" w:rsidRDefault="00452453" w:rsidP="0046043F">
      <w:pPr>
        <w:numPr>
          <w:ilvl w:val="0"/>
          <w:numId w:val="42"/>
        </w:numPr>
        <w:spacing w:after="0" w:line="360" w:lineRule="auto"/>
        <w:jc w:val="both"/>
        <w:rPr>
          <w:rFonts w:cs="Tahoma"/>
          <w:color w:val="000000"/>
          <w:sz w:val="22"/>
        </w:rPr>
      </w:pPr>
      <w:r w:rsidRPr="00452453">
        <w:rPr>
          <w:rFonts w:cs="Tahoma"/>
          <w:color w:val="000000"/>
          <w:sz w:val="22"/>
        </w:rPr>
        <w:t>Porcentaje acumulado de avance en las etapas y subetapas formulación, ejecución e implementación del Proyecto DNN: Un Esfuerzo Preventivo, de Prevención de Legitimación de Capitales, Financiamiento al Terrorismo y la Proliferación de Armas de Destrucción Masiva</w:t>
      </w:r>
      <w:r>
        <w:rPr>
          <w:rFonts w:cs="Tahoma"/>
          <w:color w:val="000000"/>
          <w:sz w:val="22"/>
        </w:rPr>
        <w:t>.</w:t>
      </w:r>
    </w:p>
    <w:p w14:paraId="55B0639C" w14:textId="77777777" w:rsidR="00452453" w:rsidRDefault="00452453" w:rsidP="00452453">
      <w:pPr>
        <w:spacing w:after="0" w:line="360" w:lineRule="auto"/>
        <w:jc w:val="both"/>
        <w:rPr>
          <w:rFonts w:cs="Tahoma"/>
          <w:color w:val="000000"/>
          <w:sz w:val="22"/>
        </w:rPr>
      </w:pPr>
    </w:p>
    <w:p w14:paraId="3879BDBC" w14:textId="4E3B0BC4" w:rsidR="00452453" w:rsidRDefault="00346D3C" w:rsidP="00452453">
      <w:pPr>
        <w:spacing w:after="0" w:line="360" w:lineRule="auto"/>
        <w:jc w:val="both"/>
        <w:rPr>
          <w:rFonts w:cs="Tahoma"/>
          <w:color w:val="000000"/>
          <w:sz w:val="22"/>
        </w:rPr>
      </w:pPr>
      <w:r w:rsidRPr="00346D3C">
        <w:rPr>
          <w:rFonts w:cs="Tahoma"/>
          <w:color w:val="000000"/>
          <w:sz w:val="22"/>
        </w:rPr>
        <w:t xml:space="preserve">El cumplimiento medio registrado en estos indicadores obedece principalmente a una combinación de limitaciones operativas, administrativas, presupuestarias y de coordinación interinstitucional, las cuales incidieron en el ritmo de ejecución y en el alcance de los resultados esperados. Entre los factores más relevantes se identifican restricciones en la capacidad instalada y de infraestructura, limitaciones de recurso humano especializado, procesos administrativos complejos que afectan la oportunidad en la ejecución, así como condicionantes normativas y logísticas que inciden en la atención de poblaciones objetivo, particularmente en el ámbito penitenciario y </w:t>
      </w:r>
      <w:proofErr w:type="gramStart"/>
      <w:r w:rsidRPr="00346D3C">
        <w:rPr>
          <w:rFonts w:cs="Tahoma"/>
          <w:color w:val="000000"/>
          <w:sz w:val="22"/>
        </w:rPr>
        <w:t>migratorio..</w:t>
      </w:r>
      <w:proofErr w:type="gramEnd"/>
      <w:r w:rsidRPr="00346D3C">
        <w:rPr>
          <w:rFonts w:cs="Tahoma"/>
          <w:color w:val="000000"/>
          <w:sz w:val="22"/>
        </w:rPr>
        <w:t xml:space="preserve"> Estas limitaciones, así como las lecciones aprendidas, se desarrollan de manera detallada en los apartados correspondientes del presente informe.</w:t>
      </w:r>
    </w:p>
    <w:p w14:paraId="2726880D" w14:textId="77777777" w:rsidR="00346D3C" w:rsidRDefault="00346D3C" w:rsidP="002144BE">
      <w:pPr>
        <w:spacing w:after="0" w:line="360" w:lineRule="auto"/>
        <w:jc w:val="both"/>
        <w:rPr>
          <w:rFonts w:cs="Tahoma"/>
          <w:color w:val="000000"/>
          <w:sz w:val="22"/>
        </w:rPr>
      </w:pPr>
    </w:p>
    <w:p w14:paraId="73B2645F" w14:textId="50ED84AB" w:rsidR="000E6C21" w:rsidRDefault="009534B0" w:rsidP="000E6C21">
      <w:pPr>
        <w:spacing w:after="0" w:line="360" w:lineRule="auto"/>
        <w:jc w:val="both"/>
        <w:rPr>
          <w:rFonts w:cs="Tahoma"/>
          <w:color w:val="000000"/>
          <w:sz w:val="22"/>
        </w:rPr>
      </w:pPr>
      <w:r w:rsidRPr="009534B0">
        <w:rPr>
          <w:rFonts w:cs="Tahoma"/>
          <w:color w:val="000000"/>
          <w:sz w:val="22"/>
        </w:rPr>
        <w:t xml:space="preserve">En conjunto, los resultados presentados permiten valorar de manera integral el desempeño del Sector Seguridad Ciudadana y Justicia, evidencian el valor público generado a partir de las intervenciones ejecutadas y constituyen un insumo fundamental para la toma de decisiones, el fortalecimiento de la planificación institucional y sectorial, así como la mejora continua de las </w:t>
      </w:r>
      <w:r w:rsidRPr="009534B0">
        <w:rPr>
          <w:rFonts w:cs="Tahoma"/>
          <w:color w:val="000000"/>
          <w:sz w:val="22"/>
        </w:rPr>
        <w:lastRenderedPageBreak/>
        <w:t>políticas públicas, orientadas a garantizar la seguridad, la justicia y el bienestar de la población costarricense.</w:t>
      </w:r>
    </w:p>
    <w:p w14:paraId="20AA2FDA" w14:textId="77777777" w:rsidR="009534B0" w:rsidRDefault="009534B0" w:rsidP="000E6C21">
      <w:pPr>
        <w:spacing w:after="0" w:line="360" w:lineRule="auto"/>
        <w:jc w:val="both"/>
        <w:rPr>
          <w:rFonts w:cs="Tahoma"/>
          <w:color w:val="000000"/>
          <w:sz w:val="22"/>
        </w:rPr>
      </w:pPr>
    </w:p>
    <w:p w14:paraId="23548890" w14:textId="76609EA0" w:rsidR="00596D02" w:rsidRPr="00596D02" w:rsidRDefault="00596D02" w:rsidP="00596D02">
      <w:pPr>
        <w:spacing w:after="0" w:line="360" w:lineRule="auto"/>
        <w:rPr>
          <w:rFonts w:cs="Tahoma"/>
          <w:color w:val="000000"/>
          <w:sz w:val="22"/>
        </w:rPr>
      </w:pPr>
      <w:r w:rsidRPr="00596D02">
        <w:rPr>
          <w:rFonts w:cs="Tahoma"/>
          <w:color w:val="000000"/>
          <w:sz w:val="22"/>
        </w:rPr>
        <w:t>Cordialmente,</w:t>
      </w:r>
    </w:p>
    <w:p w14:paraId="7D07B6E7" w14:textId="77777777" w:rsidR="00596D02" w:rsidRPr="00596D02" w:rsidRDefault="00596D02" w:rsidP="00596D02">
      <w:pPr>
        <w:spacing w:after="0" w:line="360" w:lineRule="auto"/>
        <w:ind w:firstLine="708"/>
        <w:rPr>
          <w:rFonts w:cs="Tahoma"/>
          <w:color w:val="000000"/>
          <w:sz w:val="22"/>
        </w:rPr>
      </w:pPr>
    </w:p>
    <w:p w14:paraId="2C00BDC5" w14:textId="77777777" w:rsidR="00596D02" w:rsidRPr="00596D02" w:rsidRDefault="00596D02" w:rsidP="00596D02">
      <w:pPr>
        <w:spacing w:after="0" w:line="360" w:lineRule="auto"/>
        <w:ind w:left="-851"/>
        <w:jc w:val="right"/>
        <w:rPr>
          <w:rFonts w:cs="Tahoma"/>
          <w:color w:val="000000"/>
          <w:sz w:val="22"/>
        </w:rPr>
      </w:pPr>
      <w:r w:rsidRPr="00596D02">
        <w:rPr>
          <w:rFonts w:cs="Tahoma"/>
          <w:color w:val="000000"/>
          <w:sz w:val="22"/>
        </w:rPr>
        <w:t>Secretaría de Planificación Sectorial e Institucional</w:t>
      </w:r>
    </w:p>
    <w:p w14:paraId="337D002A" w14:textId="77777777" w:rsidR="00596D02" w:rsidRPr="00596D02" w:rsidRDefault="00596D02" w:rsidP="00596D02">
      <w:pPr>
        <w:spacing w:after="0" w:line="360" w:lineRule="auto"/>
        <w:ind w:left="-851"/>
        <w:jc w:val="right"/>
        <w:rPr>
          <w:rFonts w:cs="Tahoma"/>
          <w:color w:val="000000"/>
          <w:sz w:val="22"/>
        </w:rPr>
      </w:pPr>
      <w:r w:rsidRPr="00596D02">
        <w:rPr>
          <w:rFonts w:cs="Tahoma"/>
          <w:color w:val="000000"/>
          <w:sz w:val="22"/>
        </w:rPr>
        <w:t xml:space="preserve">Sector Seguridad Ciudadana y Justicia </w:t>
      </w:r>
    </w:p>
    <w:p w14:paraId="5D7C1DAD" w14:textId="77777777" w:rsidR="00596D02" w:rsidRPr="00596D02" w:rsidRDefault="00596D02" w:rsidP="00596D02">
      <w:pPr>
        <w:spacing w:after="0" w:line="360" w:lineRule="auto"/>
        <w:ind w:left="-851"/>
        <w:jc w:val="right"/>
        <w:rPr>
          <w:rFonts w:cs="Tahoma"/>
          <w:color w:val="000000"/>
          <w:sz w:val="22"/>
        </w:rPr>
        <w:sectPr w:rsidR="00596D02" w:rsidRPr="00596D02" w:rsidSect="00596D02">
          <w:headerReference w:type="default" r:id="rId13"/>
          <w:footerReference w:type="default" r:id="rId14"/>
          <w:pgSz w:w="12242" w:h="15842" w:code="1"/>
          <w:pgMar w:top="1418" w:right="1418" w:bottom="1418" w:left="1491" w:header="567" w:footer="567" w:gutter="0"/>
          <w:pgNumType w:start="1"/>
          <w:cols w:space="708"/>
          <w:docGrid w:linePitch="360"/>
        </w:sectPr>
      </w:pPr>
      <w:r w:rsidRPr="00596D02">
        <w:rPr>
          <w:rFonts w:cs="Tahoma"/>
          <w:color w:val="000000"/>
          <w:sz w:val="22"/>
        </w:rPr>
        <w:t xml:space="preserve">Ministerio de Justicia y Paz </w:t>
      </w:r>
    </w:p>
    <w:p w14:paraId="44FC7F89" w14:textId="77777777" w:rsidR="002478C3" w:rsidRPr="0073029B" w:rsidRDefault="002478C3" w:rsidP="002478C3">
      <w:pPr>
        <w:spacing w:after="0"/>
        <w:ind w:firstLine="708"/>
        <w:jc w:val="right"/>
        <w:rPr>
          <w:rFonts w:cs="Tahoma"/>
          <w:b/>
          <w:color w:val="000000"/>
          <w:sz w:val="28"/>
          <w:szCs w:val="20"/>
        </w:rPr>
      </w:pPr>
    </w:p>
    <w:p w14:paraId="601463C9" w14:textId="6FD9084B" w:rsidR="00476998" w:rsidRPr="0073029B" w:rsidRDefault="00476998" w:rsidP="002B481E">
      <w:pPr>
        <w:spacing w:after="0" w:line="240" w:lineRule="auto"/>
        <w:ind w:left="-851"/>
        <w:jc w:val="center"/>
        <w:rPr>
          <w:rFonts w:cs="Tahoma"/>
          <w:b/>
          <w:color w:val="000000"/>
          <w:sz w:val="28"/>
          <w:szCs w:val="20"/>
        </w:rPr>
      </w:pPr>
      <w:r w:rsidRPr="0073029B">
        <w:rPr>
          <w:rFonts w:cs="Tahoma"/>
          <w:b/>
          <w:color w:val="000000"/>
          <w:sz w:val="28"/>
          <w:szCs w:val="20"/>
        </w:rPr>
        <w:t xml:space="preserve">Seguimiento </w:t>
      </w:r>
      <w:r w:rsidR="00B2459E" w:rsidRPr="0073029B">
        <w:rPr>
          <w:rFonts w:cs="Tahoma"/>
          <w:b/>
          <w:color w:val="000000"/>
          <w:sz w:val="28"/>
          <w:szCs w:val="20"/>
        </w:rPr>
        <w:t xml:space="preserve">Anual </w:t>
      </w:r>
      <w:r w:rsidR="009C217A" w:rsidRPr="0073029B">
        <w:rPr>
          <w:rFonts w:cs="Tahoma"/>
          <w:b/>
          <w:color w:val="000000"/>
          <w:sz w:val="28"/>
          <w:szCs w:val="20"/>
        </w:rPr>
        <w:t>202</w:t>
      </w:r>
      <w:r w:rsidR="00FD1F58" w:rsidRPr="0073029B">
        <w:rPr>
          <w:rFonts w:cs="Tahoma"/>
          <w:b/>
          <w:color w:val="000000"/>
          <w:sz w:val="28"/>
          <w:szCs w:val="20"/>
        </w:rPr>
        <w:t>5</w:t>
      </w:r>
    </w:p>
    <w:p w14:paraId="0944F4CF" w14:textId="77777777" w:rsidR="00476998" w:rsidRPr="0073029B" w:rsidRDefault="00476998" w:rsidP="002B481E">
      <w:pPr>
        <w:spacing w:after="0" w:line="240" w:lineRule="auto"/>
        <w:jc w:val="center"/>
        <w:rPr>
          <w:rFonts w:cs="Tahoma"/>
          <w:b/>
          <w:color w:val="000000"/>
          <w:sz w:val="28"/>
          <w:szCs w:val="20"/>
        </w:rPr>
      </w:pPr>
      <w:r w:rsidRPr="0073029B">
        <w:rPr>
          <w:rFonts w:cs="Tahoma"/>
          <w:b/>
          <w:color w:val="000000"/>
          <w:sz w:val="28"/>
          <w:szCs w:val="20"/>
        </w:rPr>
        <w:t>Plan Nacional de Desarrollo y de Inversión Púbica 2023-2026 (PNDIP)</w:t>
      </w:r>
    </w:p>
    <w:p w14:paraId="3570540F" w14:textId="324CF73F" w:rsidR="00476998" w:rsidRPr="0073029B" w:rsidRDefault="00476998" w:rsidP="002B481E">
      <w:pPr>
        <w:spacing w:after="0" w:line="240" w:lineRule="auto"/>
        <w:jc w:val="center"/>
        <w:rPr>
          <w:rFonts w:cs="Tahoma"/>
          <w:b/>
          <w:color w:val="000000"/>
          <w:sz w:val="28"/>
          <w:szCs w:val="20"/>
        </w:rPr>
      </w:pPr>
      <w:r w:rsidRPr="0073029B">
        <w:rPr>
          <w:rFonts w:cs="Tahoma"/>
          <w:b/>
          <w:color w:val="000000"/>
          <w:sz w:val="28"/>
          <w:szCs w:val="20"/>
        </w:rPr>
        <w:t>Sector Seguridad Ciudadana y Justicia</w:t>
      </w:r>
    </w:p>
    <w:p w14:paraId="0CD0F40B" w14:textId="4DB5F671" w:rsidR="005638FE" w:rsidRPr="0073029B" w:rsidRDefault="00B80134" w:rsidP="002B481E">
      <w:pPr>
        <w:pStyle w:val="Ttulo1"/>
        <w:ind w:left="-567" w:hanging="426"/>
        <w:rPr>
          <w:rFonts w:cs="Tahoma"/>
        </w:rPr>
      </w:pPr>
      <w:bookmarkStart w:id="4" w:name="_Toc220401611"/>
      <w:r w:rsidRPr="0073029B">
        <w:rPr>
          <w:rFonts w:cs="Tahoma"/>
        </w:rPr>
        <w:t>1</w:t>
      </w:r>
      <w:bookmarkStart w:id="5" w:name="_Hlk195097720"/>
      <w:r w:rsidRPr="0073029B">
        <w:rPr>
          <w:rFonts w:cs="Tahoma"/>
        </w:rPr>
        <w:t xml:space="preserve">. </w:t>
      </w:r>
      <w:r w:rsidR="005638FE" w:rsidRPr="0073029B">
        <w:rPr>
          <w:rFonts w:cs="Tahoma"/>
        </w:rPr>
        <w:t>Metas Sectoriales</w:t>
      </w:r>
      <w:bookmarkEnd w:id="4"/>
    </w:p>
    <w:tbl>
      <w:tblPr>
        <w:tblW w:w="6120" w:type="pct"/>
        <w:jc w:val="center"/>
        <w:tblCellMar>
          <w:left w:w="70" w:type="dxa"/>
          <w:right w:w="70" w:type="dxa"/>
        </w:tblCellMar>
        <w:tblLook w:val="04A0" w:firstRow="1" w:lastRow="0" w:firstColumn="1" w:lastColumn="0" w:noHBand="0" w:noVBand="1"/>
      </w:tblPr>
      <w:tblGrid>
        <w:gridCol w:w="3082"/>
        <w:gridCol w:w="197"/>
        <w:gridCol w:w="1867"/>
        <w:gridCol w:w="1111"/>
        <w:gridCol w:w="197"/>
        <w:gridCol w:w="915"/>
        <w:gridCol w:w="786"/>
        <w:gridCol w:w="2041"/>
        <w:gridCol w:w="1840"/>
        <w:gridCol w:w="2188"/>
        <w:gridCol w:w="147"/>
        <w:gridCol w:w="23"/>
      </w:tblGrid>
      <w:tr w:rsidR="00CE3F60" w:rsidRPr="0073029B" w14:paraId="3307431F" w14:textId="77777777" w:rsidTr="00AE52E4">
        <w:trPr>
          <w:trHeight w:val="20"/>
          <w:tblHeader/>
          <w:jc w:val="center"/>
        </w:trPr>
        <w:tc>
          <w:tcPr>
            <w:tcW w:w="1071" w:type="pct"/>
            <w:tcBorders>
              <w:top w:val="single" w:sz="4" w:space="0" w:color="auto"/>
              <w:bottom w:val="single" w:sz="4" w:space="0" w:color="auto"/>
            </w:tcBorders>
            <w:shd w:val="clear" w:color="auto" w:fill="C00000"/>
            <w:vAlign w:val="center"/>
          </w:tcPr>
          <w:p w14:paraId="251A7B0A" w14:textId="77777777" w:rsidR="00CE3F60" w:rsidRPr="0073029B" w:rsidRDefault="00CE3F60" w:rsidP="009526F4">
            <w:pPr>
              <w:spacing w:after="0" w:line="240" w:lineRule="auto"/>
              <w:rPr>
                <w:rFonts w:eastAsia="Times New Roman" w:cs="Tahoma"/>
                <w:b/>
                <w:bCs/>
                <w:color w:val="FFFFFF" w:themeColor="background1"/>
                <w:sz w:val="18"/>
                <w:szCs w:val="18"/>
                <w:lang w:eastAsia="es-CR"/>
              </w:rPr>
            </w:pPr>
            <w:r w:rsidRPr="0073029B">
              <w:rPr>
                <w:rFonts w:eastAsia="Times New Roman" w:cs="Tahoma"/>
                <w:b/>
                <w:color w:val="FFFFFF"/>
                <w:sz w:val="18"/>
                <w:szCs w:val="18"/>
                <w:lang w:eastAsia="es-CR"/>
              </w:rPr>
              <w:t>Objetivo sectorial</w:t>
            </w:r>
          </w:p>
        </w:tc>
        <w:tc>
          <w:tcPr>
            <w:tcW w:w="3870" w:type="pct"/>
            <w:gridSpan w:val="9"/>
            <w:tcBorders>
              <w:top w:val="single" w:sz="4" w:space="0" w:color="auto"/>
              <w:bottom w:val="single" w:sz="4" w:space="0" w:color="auto"/>
            </w:tcBorders>
            <w:shd w:val="clear" w:color="auto" w:fill="C00000"/>
          </w:tcPr>
          <w:p w14:paraId="03EEF67E" w14:textId="0044FC8B" w:rsidR="00CE3F60" w:rsidRPr="0073029B" w:rsidRDefault="00CE3F60" w:rsidP="009526F4">
            <w:pPr>
              <w:spacing w:after="0" w:line="240" w:lineRule="auto"/>
              <w:rPr>
                <w:rFonts w:eastAsia="Times New Roman" w:cs="Tahoma"/>
                <w:b/>
                <w:bCs/>
                <w:color w:val="FFFFFF" w:themeColor="background1"/>
                <w:sz w:val="18"/>
                <w:szCs w:val="18"/>
                <w:lang w:eastAsia="es-CR"/>
              </w:rPr>
            </w:pPr>
            <w:r w:rsidRPr="0073029B">
              <w:rPr>
                <w:rFonts w:eastAsia="Times New Roman" w:cs="Tahoma"/>
                <w:b/>
                <w:color w:val="FFFFFF" w:themeColor="background1"/>
                <w:sz w:val="18"/>
                <w:szCs w:val="18"/>
                <w:lang w:eastAsia="es-CR"/>
              </w:rPr>
              <w:t>Fomentar la seguridad y el ejercicio de los derechos de las personas, mediante acciones públicas para el establecimiento de entornos seguros</w:t>
            </w:r>
          </w:p>
        </w:tc>
        <w:tc>
          <w:tcPr>
            <w:tcW w:w="60" w:type="pct"/>
            <w:gridSpan w:val="2"/>
            <w:tcBorders>
              <w:left w:val="nil"/>
            </w:tcBorders>
            <w:shd w:val="clear" w:color="000000" w:fill="FFFFFF"/>
            <w:noWrap/>
            <w:vAlign w:val="center"/>
          </w:tcPr>
          <w:p w14:paraId="0172FAAC" w14:textId="77777777" w:rsidR="00CE3F60" w:rsidRPr="0073029B" w:rsidRDefault="00CE3F60" w:rsidP="009526F4">
            <w:pPr>
              <w:spacing w:after="0" w:line="240" w:lineRule="auto"/>
              <w:jc w:val="center"/>
              <w:rPr>
                <w:rFonts w:eastAsia="Times New Roman" w:cs="Tahoma"/>
                <w:color w:val="000000"/>
                <w:sz w:val="18"/>
                <w:szCs w:val="18"/>
                <w:lang w:eastAsia="es-CR"/>
              </w:rPr>
            </w:pPr>
          </w:p>
        </w:tc>
      </w:tr>
      <w:tr w:rsidR="00CE3F60" w:rsidRPr="0073029B" w14:paraId="53AFF54B" w14:textId="77777777" w:rsidTr="00AE52E4">
        <w:trPr>
          <w:trHeight w:val="20"/>
          <w:tblHeader/>
          <w:jc w:val="center"/>
        </w:trPr>
        <w:tc>
          <w:tcPr>
            <w:tcW w:w="1071" w:type="pct"/>
            <w:tcBorders>
              <w:top w:val="single" w:sz="4" w:space="0" w:color="auto"/>
              <w:bottom w:val="single" w:sz="4" w:space="0" w:color="auto"/>
            </w:tcBorders>
            <w:shd w:val="clear" w:color="auto" w:fill="C00000"/>
            <w:vAlign w:val="center"/>
          </w:tcPr>
          <w:p w14:paraId="38A6BD4D" w14:textId="77777777" w:rsidR="00CE3F60" w:rsidRPr="0073029B" w:rsidRDefault="00CE3F60" w:rsidP="009526F4">
            <w:pPr>
              <w:spacing w:after="0" w:line="240" w:lineRule="auto"/>
              <w:rPr>
                <w:rFonts w:eastAsia="Times New Roman" w:cs="Tahoma"/>
                <w:b/>
                <w:bCs/>
                <w:color w:val="FFFFFF" w:themeColor="background1"/>
                <w:sz w:val="18"/>
                <w:szCs w:val="18"/>
                <w:lang w:eastAsia="es-CR"/>
              </w:rPr>
            </w:pPr>
            <w:r w:rsidRPr="0073029B">
              <w:rPr>
                <w:rFonts w:eastAsia="Times New Roman" w:cs="Tahoma"/>
                <w:b/>
                <w:color w:val="FFFFFF"/>
                <w:sz w:val="18"/>
                <w:szCs w:val="18"/>
                <w:lang w:eastAsia="es-CR"/>
              </w:rPr>
              <w:t>Indicador</w:t>
            </w:r>
          </w:p>
        </w:tc>
        <w:tc>
          <w:tcPr>
            <w:tcW w:w="3870" w:type="pct"/>
            <w:gridSpan w:val="9"/>
            <w:tcBorders>
              <w:top w:val="single" w:sz="4" w:space="0" w:color="auto"/>
              <w:bottom w:val="single" w:sz="4" w:space="0" w:color="auto"/>
            </w:tcBorders>
            <w:shd w:val="clear" w:color="auto" w:fill="C00000"/>
          </w:tcPr>
          <w:p w14:paraId="6FB90B6C" w14:textId="29279C0B" w:rsidR="00CE3F60" w:rsidRPr="0073029B" w:rsidRDefault="00CE3F60" w:rsidP="009526F4">
            <w:pPr>
              <w:spacing w:after="0" w:line="240" w:lineRule="auto"/>
              <w:rPr>
                <w:rFonts w:eastAsia="Times New Roman" w:cs="Tahoma"/>
                <w:b/>
                <w:bCs/>
                <w:color w:val="FFFFFF" w:themeColor="background1"/>
                <w:sz w:val="18"/>
                <w:szCs w:val="18"/>
                <w:lang w:eastAsia="es-CR"/>
              </w:rPr>
            </w:pPr>
            <w:bookmarkStart w:id="6" w:name="_Hlk156677717"/>
            <w:r w:rsidRPr="0073029B">
              <w:rPr>
                <w:rFonts w:eastAsia="Times New Roman" w:cs="Tahoma"/>
                <w:b/>
                <w:color w:val="FFFFFF" w:themeColor="background1"/>
                <w:sz w:val="18"/>
                <w:szCs w:val="18"/>
                <w:lang w:eastAsia="es-CR"/>
              </w:rPr>
              <w:t>Tasa de delitos por cada 100.000 habitantes.</w:t>
            </w:r>
            <w:bookmarkEnd w:id="6"/>
          </w:p>
        </w:tc>
        <w:tc>
          <w:tcPr>
            <w:tcW w:w="60" w:type="pct"/>
            <w:gridSpan w:val="2"/>
            <w:tcBorders>
              <w:left w:val="nil"/>
            </w:tcBorders>
            <w:shd w:val="clear" w:color="000000" w:fill="FFFFFF"/>
            <w:noWrap/>
            <w:vAlign w:val="center"/>
          </w:tcPr>
          <w:p w14:paraId="28F82BAB" w14:textId="77777777" w:rsidR="00CE3F60" w:rsidRPr="0073029B" w:rsidRDefault="00CE3F60" w:rsidP="009526F4">
            <w:pPr>
              <w:spacing w:after="0" w:line="240" w:lineRule="auto"/>
              <w:jc w:val="center"/>
              <w:rPr>
                <w:rFonts w:eastAsia="Times New Roman" w:cs="Tahoma"/>
                <w:color w:val="000000"/>
                <w:sz w:val="18"/>
                <w:szCs w:val="18"/>
                <w:lang w:eastAsia="es-CR"/>
              </w:rPr>
            </w:pPr>
          </w:p>
        </w:tc>
      </w:tr>
      <w:tr w:rsidR="00522D1B" w:rsidRPr="0073029B" w14:paraId="2371DB04" w14:textId="77777777" w:rsidTr="00AE52E4">
        <w:trPr>
          <w:gridAfter w:val="1"/>
          <w:wAfter w:w="9" w:type="pct"/>
          <w:trHeight w:val="20"/>
          <w:tblHeader/>
          <w:jc w:val="center"/>
        </w:trPr>
        <w:tc>
          <w:tcPr>
            <w:tcW w:w="1071" w:type="pct"/>
            <w:vMerge w:val="restart"/>
            <w:tcBorders>
              <w:top w:val="single" w:sz="4" w:space="0" w:color="auto"/>
              <w:bottom w:val="single" w:sz="4" w:space="0" w:color="auto"/>
            </w:tcBorders>
            <w:shd w:val="clear" w:color="auto" w:fill="C00000"/>
            <w:vAlign w:val="center"/>
            <w:hideMark/>
          </w:tcPr>
          <w:p w14:paraId="2062249A" w14:textId="77777777" w:rsidR="00522D1B" w:rsidRPr="0073029B" w:rsidRDefault="00522D1B" w:rsidP="009526F4">
            <w:pPr>
              <w:spacing w:after="0" w:line="240" w:lineRule="auto"/>
              <w:jc w:val="center"/>
              <w:rPr>
                <w:rFonts w:eastAsia="Times New Roman" w:cs="Tahoma"/>
                <w:b/>
                <w:color w:val="FFFFFF"/>
                <w:sz w:val="18"/>
                <w:szCs w:val="18"/>
                <w:lang w:eastAsia="es-CR"/>
              </w:rPr>
            </w:pPr>
            <w:r w:rsidRPr="0073029B">
              <w:rPr>
                <w:rFonts w:eastAsia="Times New Roman" w:cs="Tahoma"/>
                <w:b/>
                <w:color w:val="FFFFFF"/>
                <w:sz w:val="18"/>
                <w:szCs w:val="18"/>
                <w:lang w:eastAsia="es-CR"/>
              </w:rPr>
              <w:t xml:space="preserve">Meta del período </w:t>
            </w:r>
          </w:p>
        </w:tc>
        <w:tc>
          <w:tcPr>
            <w:tcW w:w="68" w:type="pct"/>
            <w:tcBorders>
              <w:top w:val="single" w:sz="4" w:space="0" w:color="auto"/>
              <w:bottom w:val="single" w:sz="4" w:space="0" w:color="FFFFFF"/>
            </w:tcBorders>
            <w:shd w:val="clear" w:color="auto" w:fill="auto"/>
            <w:noWrap/>
            <w:vAlign w:val="bottom"/>
            <w:hideMark/>
          </w:tcPr>
          <w:p w14:paraId="7022E010" w14:textId="77777777" w:rsidR="00522D1B" w:rsidRPr="0073029B" w:rsidRDefault="00522D1B" w:rsidP="009526F4">
            <w:pPr>
              <w:spacing w:after="0" w:line="240" w:lineRule="auto"/>
              <w:jc w:val="center"/>
              <w:rPr>
                <w:rFonts w:eastAsia="Times New Roman" w:cs="Tahoma"/>
                <w:color w:val="FFFFFF"/>
                <w:sz w:val="18"/>
                <w:szCs w:val="18"/>
                <w:lang w:eastAsia="es-CR"/>
              </w:rPr>
            </w:pPr>
          </w:p>
        </w:tc>
        <w:tc>
          <w:tcPr>
            <w:tcW w:w="649" w:type="pct"/>
            <w:vMerge w:val="restart"/>
            <w:tcBorders>
              <w:top w:val="single" w:sz="4" w:space="0" w:color="auto"/>
              <w:bottom w:val="single" w:sz="4" w:space="0" w:color="FFFFFF"/>
            </w:tcBorders>
            <w:shd w:val="clear" w:color="auto" w:fill="003A70"/>
            <w:noWrap/>
            <w:vAlign w:val="center"/>
            <w:hideMark/>
          </w:tcPr>
          <w:p w14:paraId="04FAC7E4" w14:textId="77777777" w:rsidR="00522D1B" w:rsidRPr="0073029B" w:rsidRDefault="00522D1B" w:rsidP="009526F4">
            <w:pPr>
              <w:spacing w:after="0" w:line="240" w:lineRule="auto"/>
              <w:jc w:val="center"/>
              <w:rPr>
                <w:rFonts w:eastAsia="Times New Roman" w:cs="Tahoma"/>
                <w:b/>
                <w:bCs/>
                <w:color w:val="FFFFFF"/>
                <w:sz w:val="18"/>
                <w:szCs w:val="18"/>
                <w:lang w:eastAsia="es-CR"/>
              </w:rPr>
            </w:pPr>
            <w:r w:rsidRPr="0073029B">
              <w:rPr>
                <w:rFonts w:eastAsia="Times New Roman" w:cs="Tahoma"/>
                <w:b/>
                <w:bCs/>
                <w:color w:val="FFFFFF"/>
                <w:sz w:val="18"/>
                <w:szCs w:val="18"/>
                <w:lang w:eastAsia="es-CR"/>
              </w:rPr>
              <w:t>Categoría</w:t>
            </w:r>
          </w:p>
        </w:tc>
        <w:tc>
          <w:tcPr>
            <w:tcW w:w="386" w:type="pct"/>
            <w:tcBorders>
              <w:top w:val="single" w:sz="4" w:space="0" w:color="auto"/>
              <w:bottom w:val="single" w:sz="4" w:space="0" w:color="FFFFFF"/>
            </w:tcBorders>
            <w:shd w:val="clear" w:color="auto" w:fill="003A70"/>
            <w:noWrap/>
            <w:vAlign w:val="center"/>
            <w:hideMark/>
          </w:tcPr>
          <w:p w14:paraId="23D335E5" w14:textId="77777777" w:rsidR="00522D1B" w:rsidRPr="0073029B" w:rsidRDefault="00522D1B" w:rsidP="000C3A97">
            <w:pPr>
              <w:spacing w:after="0" w:line="240" w:lineRule="auto"/>
              <w:jc w:val="center"/>
              <w:rPr>
                <w:rFonts w:eastAsia="Times New Roman" w:cs="Tahoma"/>
                <w:b/>
                <w:bCs/>
                <w:color w:val="FFFFFF"/>
                <w:sz w:val="18"/>
                <w:szCs w:val="18"/>
                <w:lang w:eastAsia="es-CR"/>
              </w:rPr>
            </w:pPr>
            <w:r w:rsidRPr="0073029B">
              <w:rPr>
                <w:rFonts w:eastAsia="Times New Roman" w:cs="Tahoma"/>
                <w:b/>
                <w:bCs/>
                <w:color w:val="FFFFFF"/>
                <w:sz w:val="18"/>
                <w:szCs w:val="18"/>
                <w:lang w:eastAsia="es-CR"/>
              </w:rPr>
              <w:t>2019</w:t>
            </w:r>
          </w:p>
        </w:tc>
        <w:tc>
          <w:tcPr>
            <w:tcW w:w="68" w:type="pct"/>
            <w:tcBorders>
              <w:top w:val="single" w:sz="4" w:space="0" w:color="auto"/>
              <w:bottom w:val="single" w:sz="4" w:space="0" w:color="FFFFFF"/>
            </w:tcBorders>
            <w:shd w:val="clear" w:color="auto" w:fill="FFFFFF" w:themeFill="background1"/>
            <w:noWrap/>
            <w:vAlign w:val="center"/>
            <w:hideMark/>
          </w:tcPr>
          <w:p w14:paraId="78C75147" w14:textId="77777777" w:rsidR="00522D1B" w:rsidRPr="0073029B" w:rsidRDefault="00522D1B" w:rsidP="000C3A97">
            <w:pPr>
              <w:spacing w:after="0" w:line="240" w:lineRule="auto"/>
              <w:jc w:val="center"/>
              <w:rPr>
                <w:rFonts w:eastAsia="Times New Roman" w:cs="Tahoma"/>
                <w:b/>
                <w:bCs/>
                <w:color w:val="FFFFFF"/>
                <w:sz w:val="18"/>
                <w:szCs w:val="18"/>
                <w:lang w:eastAsia="es-CR"/>
              </w:rPr>
            </w:pPr>
          </w:p>
        </w:tc>
        <w:tc>
          <w:tcPr>
            <w:tcW w:w="318" w:type="pct"/>
            <w:tcBorders>
              <w:top w:val="single" w:sz="4" w:space="0" w:color="auto"/>
              <w:bottom w:val="single" w:sz="4" w:space="0" w:color="FFFFFF"/>
            </w:tcBorders>
            <w:shd w:val="clear" w:color="auto" w:fill="003A70"/>
            <w:vAlign w:val="center"/>
          </w:tcPr>
          <w:p w14:paraId="47E707AD" w14:textId="4035A460" w:rsidR="00522D1B" w:rsidRPr="003D5273" w:rsidRDefault="00522D1B" w:rsidP="000C3A97">
            <w:pPr>
              <w:spacing w:after="0" w:line="240" w:lineRule="auto"/>
              <w:jc w:val="center"/>
              <w:rPr>
                <w:rFonts w:eastAsia="Times New Roman" w:cs="Tahoma"/>
                <w:b/>
                <w:bCs/>
                <w:color w:val="FFFFFF"/>
                <w:sz w:val="18"/>
                <w:szCs w:val="18"/>
                <w:lang w:eastAsia="es-CR"/>
              </w:rPr>
            </w:pPr>
            <w:r w:rsidRPr="003D5273">
              <w:rPr>
                <w:rFonts w:eastAsia="Times New Roman" w:cs="Tahoma"/>
                <w:b/>
                <w:bCs/>
                <w:color w:val="FFFFFF"/>
                <w:sz w:val="18"/>
                <w:szCs w:val="18"/>
                <w:lang w:eastAsia="es-CR"/>
              </w:rPr>
              <w:t>2023</w:t>
            </w:r>
          </w:p>
        </w:tc>
        <w:tc>
          <w:tcPr>
            <w:tcW w:w="273" w:type="pct"/>
            <w:tcBorders>
              <w:top w:val="single" w:sz="4" w:space="0" w:color="auto"/>
              <w:bottom w:val="single" w:sz="4" w:space="0" w:color="FFFFFF"/>
            </w:tcBorders>
            <w:shd w:val="clear" w:color="auto" w:fill="003A70"/>
            <w:vAlign w:val="center"/>
          </w:tcPr>
          <w:p w14:paraId="3942D034" w14:textId="001DEAD4" w:rsidR="00522D1B" w:rsidRPr="003D5273" w:rsidRDefault="00522D1B" w:rsidP="000C3A97">
            <w:pPr>
              <w:spacing w:after="0" w:line="240" w:lineRule="auto"/>
              <w:jc w:val="center"/>
              <w:rPr>
                <w:rFonts w:eastAsia="Times New Roman" w:cs="Tahoma"/>
                <w:b/>
                <w:bCs/>
                <w:color w:val="FFFFFF"/>
                <w:sz w:val="18"/>
                <w:szCs w:val="18"/>
                <w:lang w:eastAsia="es-CR"/>
              </w:rPr>
            </w:pPr>
            <w:r w:rsidRPr="003D5273">
              <w:rPr>
                <w:rFonts w:eastAsia="Times New Roman" w:cs="Tahoma"/>
                <w:b/>
                <w:bCs/>
                <w:color w:val="FFFFFF"/>
                <w:sz w:val="18"/>
                <w:szCs w:val="18"/>
                <w:lang w:eastAsia="es-CR"/>
              </w:rPr>
              <w:t>2024</w:t>
            </w:r>
          </w:p>
        </w:tc>
        <w:tc>
          <w:tcPr>
            <w:tcW w:w="1348" w:type="pct"/>
            <w:gridSpan w:val="2"/>
            <w:tcBorders>
              <w:top w:val="single" w:sz="4" w:space="0" w:color="auto"/>
              <w:bottom w:val="single" w:sz="4" w:space="0" w:color="FFFFFF"/>
            </w:tcBorders>
            <w:shd w:val="clear" w:color="auto" w:fill="003A70"/>
            <w:noWrap/>
            <w:vAlign w:val="center"/>
            <w:hideMark/>
          </w:tcPr>
          <w:p w14:paraId="11860EC0" w14:textId="61F2C37F" w:rsidR="00522D1B" w:rsidRPr="0073029B" w:rsidRDefault="00522D1B" w:rsidP="000C3A97">
            <w:pPr>
              <w:spacing w:after="0" w:line="240" w:lineRule="auto"/>
              <w:jc w:val="center"/>
              <w:rPr>
                <w:rFonts w:eastAsia="Times New Roman" w:cs="Tahoma"/>
                <w:b/>
                <w:bCs/>
                <w:color w:val="FFFFFF"/>
                <w:sz w:val="18"/>
                <w:szCs w:val="18"/>
                <w:lang w:eastAsia="es-CR"/>
              </w:rPr>
            </w:pPr>
            <w:r w:rsidRPr="0073029B">
              <w:rPr>
                <w:rFonts w:eastAsia="Times New Roman" w:cs="Tahoma"/>
                <w:b/>
                <w:bCs/>
                <w:color w:val="FFFFFF"/>
                <w:sz w:val="18"/>
                <w:szCs w:val="18"/>
                <w:lang w:eastAsia="es-CR"/>
              </w:rPr>
              <w:t>2025</w:t>
            </w:r>
          </w:p>
        </w:tc>
        <w:tc>
          <w:tcPr>
            <w:tcW w:w="760" w:type="pct"/>
            <w:vMerge w:val="restart"/>
            <w:tcBorders>
              <w:top w:val="single" w:sz="4" w:space="0" w:color="auto"/>
              <w:right w:val="single" w:sz="4" w:space="0" w:color="auto"/>
            </w:tcBorders>
            <w:shd w:val="clear" w:color="auto" w:fill="003A70"/>
            <w:vAlign w:val="center"/>
          </w:tcPr>
          <w:p w14:paraId="73650FB9" w14:textId="77777777" w:rsidR="00522D1B" w:rsidRPr="0073029B" w:rsidRDefault="00522D1B" w:rsidP="00522D1B">
            <w:pPr>
              <w:spacing w:after="0" w:line="240" w:lineRule="auto"/>
              <w:jc w:val="center"/>
              <w:rPr>
                <w:rFonts w:eastAsia="Times New Roman" w:cs="Tahoma"/>
                <w:b/>
                <w:bCs/>
                <w:color w:val="FFFFFF"/>
                <w:sz w:val="18"/>
                <w:szCs w:val="18"/>
                <w:lang w:eastAsia="es-CR"/>
              </w:rPr>
            </w:pPr>
            <w:r w:rsidRPr="0073029B">
              <w:rPr>
                <w:rFonts w:eastAsia="Times New Roman" w:cs="Tahoma"/>
                <w:b/>
                <w:bCs/>
                <w:color w:val="FFFFFF"/>
                <w:sz w:val="18"/>
                <w:szCs w:val="18"/>
                <w:lang w:eastAsia="es-CR"/>
              </w:rPr>
              <w:t xml:space="preserve">Clasificación </w:t>
            </w:r>
          </w:p>
          <w:p w14:paraId="4FA79F3D" w14:textId="07192405" w:rsidR="00522D1B" w:rsidRPr="0073029B" w:rsidRDefault="00522D1B" w:rsidP="00522D1B">
            <w:pPr>
              <w:spacing w:after="0" w:line="240" w:lineRule="auto"/>
              <w:jc w:val="center"/>
              <w:rPr>
                <w:rFonts w:eastAsia="Times New Roman" w:cs="Tahoma"/>
                <w:b/>
                <w:bCs/>
                <w:color w:val="FFFFFF"/>
                <w:sz w:val="18"/>
                <w:szCs w:val="18"/>
                <w:lang w:eastAsia="es-CR"/>
              </w:rPr>
            </w:pPr>
            <w:r w:rsidRPr="0073029B">
              <w:rPr>
                <w:rFonts w:eastAsia="Times New Roman" w:cs="Tahoma"/>
                <w:b/>
                <w:bCs/>
                <w:sz w:val="18"/>
                <w:szCs w:val="18"/>
                <w:lang w:eastAsia="es-CR"/>
              </w:rPr>
              <w:t>de Cumplimiento 2025</w:t>
            </w:r>
          </w:p>
        </w:tc>
        <w:tc>
          <w:tcPr>
            <w:tcW w:w="51" w:type="pct"/>
            <w:shd w:val="clear" w:color="000000" w:fill="FFFFFF"/>
            <w:noWrap/>
            <w:vAlign w:val="center"/>
            <w:hideMark/>
          </w:tcPr>
          <w:p w14:paraId="6C94CC63" w14:textId="77777777" w:rsidR="00522D1B" w:rsidRPr="0073029B" w:rsidRDefault="00522D1B" w:rsidP="009526F4">
            <w:pPr>
              <w:spacing w:after="0" w:line="240" w:lineRule="auto"/>
              <w:jc w:val="center"/>
              <w:rPr>
                <w:rFonts w:eastAsia="Times New Roman" w:cs="Tahoma"/>
                <w:color w:val="000000"/>
                <w:sz w:val="18"/>
                <w:szCs w:val="18"/>
                <w:lang w:eastAsia="es-CR"/>
              </w:rPr>
            </w:pPr>
          </w:p>
        </w:tc>
      </w:tr>
      <w:tr w:rsidR="00522D1B" w:rsidRPr="0073029B" w14:paraId="2810185E" w14:textId="77777777" w:rsidTr="00AE52E4">
        <w:trPr>
          <w:gridAfter w:val="2"/>
          <w:wAfter w:w="60" w:type="pct"/>
          <w:trHeight w:val="20"/>
          <w:tblHeader/>
          <w:jc w:val="center"/>
        </w:trPr>
        <w:tc>
          <w:tcPr>
            <w:tcW w:w="1071" w:type="pct"/>
            <w:vMerge/>
            <w:tcBorders>
              <w:bottom w:val="single" w:sz="4" w:space="0" w:color="auto"/>
            </w:tcBorders>
            <w:shd w:val="clear" w:color="auto" w:fill="C00000"/>
            <w:vAlign w:val="center"/>
            <w:hideMark/>
          </w:tcPr>
          <w:p w14:paraId="61EBF567" w14:textId="77777777" w:rsidR="00522D1B" w:rsidRPr="0073029B" w:rsidRDefault="00522D1B" w:rsidP="009526F4">
            <w:pPr>
              <w:spacing w:after="0" w:line="240" w:lineRule="auto"/>
              <w:rPr>
                <w:rFonts w:eastAsia="Times New Roman" w:cs="Tahoma"/>
                <w:color w:val="FFFFFF"/>
                <w:sz w:val="18"/>
                <w:szCs w:val="18"/>
                <w:lang w:eastAsia="es-CR"/>
              </w:rPr>
            </w:pPr>
          </w:p>
        </w:tc>
        <w:tc>
          <w:tcPr>
            <w:tcW w:w="68" w:type="pct"/>
            <w:tcBorders>
              <w:top w:val="single" w:sz="4" w:space="0" w:color="FFFFFF"/>
            </w:tcBorders>
            <w:shd w:val="clear" w:color="000000" w:fill="FFFFFF"/>
            <w:noWrap/>
            <w:vAlign w:val="bottom"/>
            <w:hideMark/>
          </w:tcPr>
          <w:p w14:paraId="34325F2A" w14:textId="77777777" w:rsidR="00522D1B" w:rsidRPr="0073029B" w:rsidRDefault="00522D1B" w:rsidP="009526F4">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649" w:type="pct"/>
            <w:vMerge/>
            <w:tcBorders>
              <w:top w:val="single" w:sz="4" w:space="0" w:color="FFFFFF"/>
              <w:bottom w:val="single" w:sz="4" w:space="0" w:color="auto"/>
            </w:tcBorders>
            <w:shd w:val="clear" w:color="000000" w:fill="FFFFFF"/>
            <w:noWrap/>
            <w:vAlign w:val="center"/>
            <w:hideMark/>
          </w:tcPr>
          <w:p w14:paraId="0B799392" w14:textId="77777777" w:rsidR="00522D1B" w:rsidRPr="0073029B" w:rsidRDefault="00522D1B" w:rsidP="009526F4">
            <w:pPr>
              <w:spacing w:after="0" w:line="240" w:lineRule="auto"/>
              <w:jc w:val="center"/>
              <w:rPr>
                <w:rFonts w:eastAsia="Times New Roman" w:cs="Tahoma"/>
                <w:color w:val="000000"/>
                <w:sz w:val="18"/>
                <w:szCs w:val="18"/>
                <w:lang w:eastAsia="es-CR"/>
              </w:rPr>
            </w:pPr>
          </w:p>
        </w:tc>
        <w:tc>
          <w:tcPr>
            <w:tcW w:w="386" w:type="pct"/>
            <w:tcBorders>
              <w:top w:val="single" w:sz="4" w:space="0" w:color="FFFFFF"/>
              <w:bottom w:val="single" w:sz="4" w:space="0" w:color="auto"/>
            </w:tcBorders>
            <w:shd w:val="clear" w:color="000000" w:fill="FFFFFF"/>
            <w:noWrap/>
            <w:vAlign w:val="center"/>
            <w:hideMark/>
          </w:tcPr>
          <w:p w14:paraId="521EFC30" w14:textId="77777777" w:rsidR="00522D1B" w:rsidRPr="0073029B" w:rsidRDefault="00522D1B" w:rsidP="009526F4">
            <w:pPr>
              <w:spacing w:after="0" w:line="240" w:lineRule="auto"/>
              <w:jc w:val="center"/>
              <w:rPr>
                <w:rFonts w:eastAsia="Times New Roman" w:cs="Tahoma"/>
                <w:b/>
                <w:bCs/>
                <w:sz w:val="18"/>
                <w:szCs w:val="18"/>
                <w:lang w:eastAsia="es-CR"/>
              </w:rPr>
            </w:pPr>
            <w:r w:rsidRPr="0073029B">
              <w:rPr>
                <w:rFonts w:eastAsia="Times New Roman" w:cs="Tahoma"/>
                <w:b/>
                <w:bCs/>
                <w:sz w:val="18"/>
                <w:szCs w:val="18"/>
                <w:lang w:eastAsia="es-CR"/>
              </w:rPr>
              <w:t>Línea Base</w:t>
            </w:r>
          </w:p>
        </w:tc>
        <w:tc>
          <w:tcPr>
            <w:tcW w:w="68" w:type="pct"/>
            <w:tcBorders>
              <w:top w:val="single" w:sz="4" w:space="0" w:color="FFFFFF"/>
            </w:tcBorders>
            <w:shd w:val="clear" w:color="000000" w:fill="FFFFFF"/>
            <w:noWrap/>
            <w:vAlign w:val="center"/>
            <w:hideMark/>
          </w:tcPr>
          <w:p w14:paraId="09BDA777" w14:textId="77777777" w:rsidR="00522D1B" w:rsidRPr="0073029B" w:rsidRDefault="00522D1B" w:rsidP="009526F4">
            <w:pPr>
              <w:spacing w:after="0" w:line="240" w:lineRule="auto"/>
              <w:jc w:val="center"/>
              <w:rPr>
                <w:rFonts w:eastAsia="Times New Roman" w:cs="Tahoma"/>
                <w:b/>
                <w:bCs/>
                <w:sz w:val="18"/>
                <w:szCs w:val="18"/>
                <w:lang w:eastAsia="es-CR"/>
              </w:rPr>
            </w:pPr>
          </w:p>
        </w:tc>
        <w:tc>
          <w:tcPr>
            <w:tcW w:w="591" w:type="pct"/>
            <w:gridSpan w:val="2"/>
            <w:tcBorders>
              <w:top w:val="single" w:sz="4" w:space="0" w:color="FFFFFF"/>
              <w:bottom w:val="single" w:sz="4" w:space="0" w:color="auto"/>
            </w:tcBorders>
            <w:shd w:val="clear" w:color="000000" w:fill="FFFFFF"/>
          </w:tcPr>
          <w:p w14:paraId="4B3EB556" w14:textId="07A604BE" w:rsidR="00522D1B" w:rsidRPr="003D5273" w:rsidRDefault="00522D1B" w:rsidP="009526F4">
            <w:pPr>
              <w:spacing w:after="0" w:line="240" w:lineRule="auto"/>
              <w:jc w:val="center"/>
              <w:rPr>
                <w:rFonts w:eastAsia="Times New Roman" w:cs="Tahoma"/>
                <w:b/>
                <w:bCs/>
                <w:sz w:val="18"/>
                <w:szCs w:val="18"/>
                <w:lang w:eastAsia="es-CR"/>
              </w:rPr>
            </w:pPr>
            <w:r w:rsidRPr="003D5273">
              <w:rPr>
                <w:rFonts w:eastAsia="Times New Roman" w:cs="Tahoma"/>
                <w:b/>
                <w:bCs/>
                <w:sz w:val="18"/>
                <w:szCs w:val="18"/>
                <w:lang w:eastAsia="es-CR"/>
              </w:rPr>
              <w:t>Resultado anual</w:t>
            </w:r>
          </w:p>
        </w:tc>
        <w:tc>
          <w:tcPr>
            <w:tcW w:w="709" w:type="pct"/>
            <w:tcBorders>
              <w:top w:val="single" w:sz="4" w:space="0" w:color="FFFFFF"/>
              <w:bottom w:val="single" w:sz="4" w:space="0" w:color="auto"/>
            </w:tcBorders>
            <w:shd w:val="clear" w:color="000000" w:fill="FFFFFF"/>
            <w:vAlign w:val="center"/>
            <w:hideMark/>
          </w:tcPr>
          <w:p w14:paraId="4BCE3488" w14:textId="41754757" w:rsidR="00522D1B" w:rsidRPr="0073029B" w:rsidRDefault="00522D1B" w:rsidP="009526F4">
            <w:pPr>
              <w:spacing w:after="0" w:line="240" w:lineRule="auto"/>
              <w:jc w:val="center"/>
              <w:rPr>
                <w:rFonts w:eastAsia="Times New Roman" w:cs="Tahoma"/>
                <w:b/>
                <w:bCs/>
                <w:sz w:val="18"/>
                <w:szCs w:val="18"/>
                <w:lang w:eastAsia="es-CR"/>
              </w:rPr>
            </w:pPr>
            <w:r w:rsidRPr="0073029B">
              <w:rPr>
                <w:rFonts w:eastAsia="Times New Roman" w:cs="Tahoma"/>
                <w:b/>
                <w:bCs/>
                <w:sz w:val="18"/>
                <w:szCs w:val="18"/>
                <w:lang w:eastAsia="es-CR"/>
              </w:rPr>
              <w:t>Meta Anual</w:t>
            </w:r>
            <w:r w:rsidRPr="0073029B">
              <w:rPr>
                <w:rStyle w:val="Refdenotaalpie"/>
                <w:rFonts w:eastAsia="Times New Roman" w:cs="Tahoma"/>
                <w:b/>
                <w:bCs/>
                <w:szCs w:val="18"/>
                <w:lang w:eastAsia="es-CR"/>
              </w:rPr>
              <w:footnoteReference w:id="2"/>
            </w:r>
          </w:p>
        </w:tc>
        <w:tc>
          <w:tcPr>
            <w:tcW w:w="639" w:type="pct"/>
            <w:tcBorders>
              <w:top w:val="single" w:sz="4" w:space="0" w:color="FFFFFF"/>
              <w:bottom w:val="single" w:sz="4" w:space="0" w:color="auto"/>
            </w:tcBorders>
            <w:shd w:val="clear" w:color="auto" w:fill="B4C6E7" w:themeFill="accent1" w:themeFillTint="66"/>
            <w:noWrap/>
            <w:vAlign w:val="center"/>
            <w:hideMark/>
          </w:tcPr>
          <w:p w14:paraId="40C21701" w14:textId="77777777" w:rsidR="00522D1B" w:rsidRPr="0073029B" w:rsidRDefault="00522D1B" w:rsidP="009526F4">
            <w:pPr>
              <w:spacing w:after="0" w:line="240" w:lineRule="auto"/>
              <w:jc w:val="center"/>
              <w:rPr>
                <w:rFonts w:eastAsia="Times New Roman" w:cs="Tahoma"/>
                <w:b/>
                <w:bCs/>
                <w:sz w:val="18"/>
                <w:szCs w:val="18"/>
                <w:lang w:eastAsia="es-CR"/>
              </w:rPr>
            </w:pPr>
            <w:r w:rsidRPr="0073029B">
              <w:rPr>
                <w:rFonts w:eastAsia="Times New Roman" w:cs="Tahoma"/>
                <w:b/>
                <w:bCs/>
                <w:sz w:val="18"/>
                <w:szCs w:val="18"/>
                <w:lang w:eastAsia="es-CR"/>
              </w:rPr>
              <w:t>Resultado anual</w:t>
            </w:r>
          </w:p>
        </w:tc>
        <w:tc>
          <w:tcPr>
            <w:tcW w:w="760" w:type="pct"/>
            <w:vMerge/>
            <w:tcBorders>
              <w:bottom w:val="single" w:sz="4" w:space="0" w:color="auto"/>
              <w:right w:val="single" w:sz="4" w:space="0" w:color="auto"/>
            </w:tcBorders>
            <w:shd w:val="clear" w:color="auto" w:fill="003A70"/>
            <w:noWrap/>
            <w:vAlign w:val="bottom"/>
            <w:hideMark/>
          </w:tcPr>
          <w:p w14:paraId="70F953C8" w14:textId="6712DF11" w:rsidR="00522D1B" w:rsidRPr="0073029B" w:rsidRDefault="00522D1B" w:rsidP="00522D1B">
            <w:pPr>
              <w:spacing w:after="0" w:line="240" w:lineRule="auto"/>
              <w:jc w:val="center"/>
              <w:rPr>
                <w:rFonts w:eastAsia="Times New Roman" w:cs="Tahoma"/>
                <w:b/>
                <w:bCs/>
                <w:sz w:val="18"/>
                <w:szCs w:val="18"/>
                <w:lang w:eastAsia="es-CR"/>
              </w:rPr>
            </w:pPr>
          </w:p>
        </w:tc>
      </w:tr>
      <w:tr w:rsidR="00ED6AE3" w:rsidRPr="0073029B" w14:paraId="1BEB37EF" w14:textId="77777777" w:rsidTr="00AE52E4">
        <w:trPr>
          <w:gridAfter w:val="2"/>
          <w:wAfter w:w="60" w:type="pct"/>
          <w:trHeight w:val="20"/>
          <w:jc w:val="center"/>
        </w:trPr>
        <w:tc>
          <w:tcPr>
            <w:tcW w:w="1071" w:type="pct"/>
            <w:vMerge w:val="restart"/>
            <w:tcBorders>
              <w:top w:val="single" w:sz="4" w:space="0" w:color="auto"/>
              <w:bottom w:val="single" w:sz="4" w:space="0" w:color="auto"/>
            </w:tcBorders>
            <w:shd w:val="clear" w:color="auto" w:fill="auto"/>
            <w:noWrap/>
            <w:hideMark/>
          </w:tcPr>
          <w:p w14:paraId="0C83999B"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b/>
                <w:color w:val="000000"/>
                <w:sz w:val="18"/>
                <w:szCs w:val="18"/>
                <w:lang w:eastAsia="es-CR"/>
              </w:rPr>
              <w:t>Nacional:</w:t>
            </w:r>
            <w:r w:rsidRPr="0073029B">
              <w:rPr>
                <w:rFonts w:eastAsia="Times New Roman" w:cs="Tahoma"/>
                <w:color w:val="000000"/>
                <w:sz w:val="18"/>
                <w:szCs w:val="18"/>
                <w:lang w:eastAsia="es-CR"/>
              </w:rPr>
              <w:br/>
              <w:t>2023: 1.181,57 a 1.204,55</w:t>
            </w:r>
            <w:r w:rsidRPr="0073029B">
              <w:rPr>
                <w:rFonts w:eastAsia="Times New Roman" w:cs="Tahoma"/>
                <w:color w:val="000000"/>
                <w:sz w:val="18"/>
                <w:szCs w:val="18"/>
                <w:lang w:eastAsia="es-CR"/>
              </w:rPr>
              <w:br/>
              <w:t>2024: 1.181,57 a 1.198,34</w:t>
            </w:r>
            <w:r w:rsidRPr="0073029B">
              <w:rPr>
                <w:rFonts w:eastAsia="Times New Roman" w:cs="Tahoma"/>
                <w:color w:val="000000"/>
                <w:sz w:val="18"/>
                <w:szCs w:val="18"/>
                <w:lang w:eastAsia="es-CR"/>
              </w:rPr>
              <w:br/>
              <w:t>2025: 1.181,57 a 1.192,16</w:t>
            </w:r>
            <w:r w:rsidRPr="0073029B">
              <w:rPr>
                <w:rFonts w:eastAsia="Times New Roman" w:cs="Tahoma"/>
                <w:color w:val="000000"/>
                <w:sz w:val="18"/>
                <w:szCs w:val="18"/>
                <w:lang w:eastAsia="es-CR"/>
              </w:rPr>
              <w:br/>
              <w:t>2026: 1.147,04 a 1.181,57</w:t>
            </w:r>
            <w:r w:rsidRPr="0073029B">
              <w:rPr>
                <w:rFonts w:eastAsia="Times New Roman" w:cs="Tahoma"/>
                <w:color w:val="000000"/>
                <w:sz w:val="18"/>
                <w:szCs w:val="18"/>
                <w:lang w:eastAsia="es-CR"/>
              </w:rPr>
              <w:br/>
            </w:r>
          </w:p>
          <w:p w14:paraId="2FA87F6A" w14:textId="77777777" w:rsidR="003D5273" w:rsidRPr="0073029B" w:rsidRDefault="003D5273" w:rsidP="003D5273">
            <w:pPr>
              <w:spacing w:after="0" w:line="240" w:lineRule="auto"/>
              <w:rPr>
                <w:rFonts w:eastAsia="Times New Roman" w:cs="Tahoma"/>
                <w:sz w:val="18"/>
                <w:szCs w:val="18"/>
                <w:lang w:eastAsia="es-CR"/>
              </w:rPr>
            </w:pPr>
            <w:r w:rsidRPr="0073029B">
              <w:rPr>
                <w:rFonts w:eastAsia="Times New Roman" w:cs="Tahoma"/>
                <w:b/>
                <w:color w:val="000000"/>
                <w:sz w:val="18"/>
                <w:szCs w:val="18"/>
                <w:lang w:eastAsia="es-CR"/>
              </w:rPr>
              <w:t>2023:</w:t>
            </w:r>
            <w:r w:rsidRPr="0073029B">
              <w:rPr>
                <w:rFonts w:eastAsia="Times New Roman" w:cs="Tahoma"/>
                <w:color w:val="000000"/>
                <w:sz w:val="18"/>
                <w:szCs w:val="18"/>
                <w:lang w:eastAsia="es-CR"/>
              </w:rPr>
              <w:br/>
              <w:t>Brunca: 1.092,75 a 1.119,21</w:t>
            </w:r>
            <w:r w:rsidRPr="0073029B">
              <w:rPr>
                <w:rFonts w:eastAsia="Times New Roman" w:cs="Tahoma"/>
                <w:color w:val="000000"/>
                <w:sz w:val="18"/>
                <w:szCs w:val="18"/>
                <w:lang w:eastAsia="es-CR"/>
              </w:rPr>
              <w:br/>
              <w:t>Central: 1.168,27 a 1.244,95</w:t>
            </w:r>
            <w:r w:rsidRPr="0073029B">
              <w:rPr>
                <w:rFonts w:eastAsia="Times New Roman" w:cs="Tahoma"/>
                <w:color w:val="000000"/>
                <w:sz w:val="18"/>
                <w:szCs w:val="18"/>
                <w:lang w:eastAsia="es-CR"/>
              </w:rPr>
              <w:br/>
              <w:t>Chorotega: 1.087,39 a 1.210,65</w:t>
            </w:r>
            <w:r w:rsidRPr="0073029B">
              <w:rPr>
                <w:rFonts w:eastAsia="Times New Roman" w:cs="Tahoma"/>
                <w:color w:val="000000"/>
                <w:sz w:val="18"/>
                <w:szCs w:val="18"/>
                <w:lang w:eastAsia="es-CR"/>
              </w:rPr>
              <w:br/>
              <w:t>Huetar Caribe: 1.228,16 a 1.264,55</w:t>
            </w:r>
            <w:r w:rsidRPr="0073029B">
              <w:rPr>
                <w:rFonts w:eastAsia="Times New Roman" w:cs="Tahoma"/>
                <w:color w:val="000000"/>
                <w:sz w:val="18"/>
                <w:szCs w:val="18"/>
                <w:lang w:eastAsia="es-CR"/>
              </w:rPr>
              <w:br/>
              <w:t>Huetar Norte: 797,32 a 907,14</w:t>
            </w:r>
            <w:r w:rsidRPr="0073029B">
              <w:rPr>
                <w:rFonts w:eastAsia="Times New Roman" w:cs="Tahoma"/>
                <w:color w:val="000000"/>
                <w:sz w:val="18"/>
                <w:szCs w:val="18"/>
                <w:lang w:eastAsia="es-CR"/>
              </w:rPr>
              <w:br/>
              <w:t>Pacífico Central: 1.580,80 a 1.647,83</w:t>
            </w:r>
            <w:r w:rsidRPr="0073029B">
              <w:rPr>
                <w:rFonts w:eastAsia="Times New Roman" w:cs="Tahoma"/>
                <w:color w:val="000000"/>
                <w:sz w:val="18"/>
                <w:szCs w:val="18"/>
                <w:lang w:eastAsia="es-CR"/>
              </w:rPr>
              <w:br/>
            </w:r>
            <w:r w:rsidRPr="0073029B">
              <w:rPr>
                <w:rFonts w:eastAsia="Times New Roman" w:cs="Tahoma"/>
                <w:color w:val="000000"/>
                <w:sz w:val="18"/>
                <w:szCs w:val="18"/>
                <w:lang w:eastAsia="es-CR"/>
              </w:rPr>
              <w:br/>
            </w:r>
            <w:r w:rsidRPr="0073029B">
              <w:rPr>
                <w:rFonts w:eastAsia="Times New Roman" w:cs="Tahoma"/>
                <w:b/>
                <w:color w:val="000000"/>
                <w:sz w:val="18"/>
                <w:szCs w:val="18"/>
                <w:lang w:eastAsia="es-CR"/>
              </w:rPr>
              <w:t>2024</w:t>
            </w:r>
            <w:r w:rsidRPr="0073029B">
              <w:rPr>
                <w:rFonts w:eastAsia="Times New Roman" w:cs="Tahoma"/>
                <w:color w:val="000000"/>
                <w:sz w:val="18"/>
                <w:szCs w:val="18"/>
                <w:lang w:eastAsia="es-CR"/>
              </w:rPr>
              <w:t>:</w:t>
            </w:r>
            <w:r w:rsidRPr="0073029B">
              <w:rPr>
                <w:rFonts w:eastAsia="Times New Roman" w:cs="Tahoma"/>
                <w:color w:val="000000"/>
                <w:sz w:val="18"/>
                <w:szCs w:val="18"/>
                <w:lang w:eastAsia="es-CR"/>
              </w:rPr>
              <w:br/>
              <w:t>Brunca: 1.092,75 a 1.113,91</w:t>
            </w:r>
            <w:r w:rsidRPr="0073029B">
              <w:rPr>
                <w:rFonts w:eastAsia="Times New Roman" w:cs="Tahoma"/>
                <w:color w:val="000000"/>
                <w:sz w:val="18"/>
                <w:szCs w:val="18"/>
                <w:lang w:eastAsia="es-CR"/>
              </w:rPr>
              <w:br/>
              <w:t>Central: 1.168,27 a 1.244,54</w:t>
            </w:r>
            <w:r w:rsidRPr="0073029B">
              <w:rPr>
                <w:rFonts w:eastAsia="Times New Roman" w:cs="Tahoma"/>
                <w:color w:val="000000"/>
                <w:sz w:val="18"/>
                <w:szCs w:val="18"/>
                <w:lang w:eastAsia="es-CR"/>
              </w:rPr>
              <w:br/>
              <w:t>Chorotega: 1.065,83 a 1.210,65</w:t>
            </w:r>
            <w:r w:rsidRPr="0073029B">
              <w:rPr>
                <w:rFonts w:eastAsia="Times New Roman" w:cs="Tahoma"/>
                <w:color w:val="000000"/>
                <w:sz w:val="18"/>
                <w:szCs w:val="18"/>
                <w:lang w:eastAsia="es-CR"/>
              </w:rPr>
              <w:br/>
              <w:t>Huetar Caribe: 1.220,16 a 1.264,55</w:t>
            </w:r>
            <w:r w:rsidRPr="0073029B">
              <w:rPr>
                <w:rFonts w:eastAsia="Times New Roman" w:cs="Tahoma"/>
                <w:color w:val="000000"/>
                <w:sz w:val="18"/>
                <w:szCs w:val="18"/>
                <w:lang w:eastAsia="es-CR"/>
              </w:rPr>
              <w:br/>
              <w:t>Huetar Norte: 780,08 a 907,14</w:t>
            </w:r>
            <w:r w:rsidRPr="0073029B">
              <w:rPr>
                <w:rFonts w:eastAsia="Times New Roman" w:cs="Tahoma"/>
                <w:color w:val="000000"/>
                <w:sz w:val="18"/>
                <w:szCs w:val="18"/>
                <w:lang w:eastAsia="es-CR"/>
              </w:rPr>
              <w:br/>
              <w:t>Pacífico Central: 1.555,68 a 1.647,83</w:t>
            </w:r>
            <w:r w:rsidRPr="0073029B">
              <w:rPr>
                <w:rFonts w:eastAsia="Times New Roman" w:cs="Tahoma"/>
                <w:color w:val="000000"/>
                <w:sz w:val="18"/>
                <w:szCs w:val="18"/>
                <w:lang w:eastAsia="es-CR"/>
              </w:rPr>
              <w:br/>
            </w:r>
            <w:r w:rsidRPr="0073029B">
              <w:rPr>
                <w:rFonts w:eastAsia="Times New Roman" w:cs="Tahoma"/>
                <w:color w:val="000000"/>
                <w:sz w:val="18"/>
                <w:szCs w:val="18"/>
                <w:lang w:eastAsia="es-CR"/>
              </w:rPr>
              <w:br/>
            </w:r>
            <w:r w:rsidRPr="0073029B">
              <w:rPr>
                <w:rFonts w:eastAsia="Times New Roman" w:cs="Tahoma"/>
                <w:b/>
                <w:color w:val="000000"/>
                <w:sz w:val="18"/>
                <w:szCs w:val="18"/>
                <w:lang w:eastAsia="es-CR"/>
              </w:rPr>
              <w:t>2025:</w:t>
            </w:r>
            <w:r w:rsidRPr="0073029B">
              <w:rPr>
                <w:rFonts w:eastAsia="Times New Roman" w:cs="Tahoma"/>
                <w:color w:val="000000"/>
                <w:sz w:val="18"/>
                <w:szCs w:val="18"/>
                <w:lang w:eastAsia="es-CR"/>
              </w:rPr>
              <w:br/>
              <w:t>Brunca: 1.092,75 a 1.108,99</w:t>
            </w:r>
            <w:r w:rsidRPr="0073029B">
              <w:rPr>
                <w:rFonts w:eastAsia="Times New Roman" w:cs="Tahoma"/>
                <w:color w:val="000000"/>
                <w:sz w:val="18"/>
                <w:szCs w:val="18"/>
                <w:lang w:eastAsia="es-CR"/>
              </w:rPr>
              <w:br/>
              <w:t>Central: 1.168,27 a 1.243,69</w:t>
            </w:r>
            <w:r w:rsidRPr="0073029B">
              <w:rPr>
                <w:rFonts w:eastAsia="Times New Roman" w:cs="Tahoma"/>
                <w:color w:val="000000"/>
                <w:sz w:val="18"/>
                <w:szCs w:val="18"/>
                <w:lang w:eastAsia="es-CR"/>
              </w:rPr>
              <w:br/>
              <w:t>Chorotega: 1.045,80 a 1.210,65</w:t>
            </w:r>
            <w:r w:rsidRPr="0073029B">
              <w:rPr>
                <w:rFonts w:eastAsia="Times New Roman" w:cs="Tahoma"/>
                <w:color w:val="000000"/>
                <w:sz w:val="18"/>
                <w:szCs w:val="18"/>
                <w:lang w:eastAsia="es-CR"/>
              </w:rPr>
              <w:br/>
              <w:t>Huetar Caribe: 1.212,37 a 1.264,55</w:t>
            </w:r>
            <w:r w:rsidRPr="0073029B">
              <w:rPr>
                <w:rFonts w:eastAsia="Times New Roman" w:cs="Tahoma"/>
                <w:color w:val="000000"/>
                <w:sz w:val="18"/>
                <w:szCs w:val="18"/>
                <w:lang w:eastAsia="es-CR"/>
              </w:rPr>
              <w:br/>
              <w:t>Huetar Norte: 764,03 a 907,14</w:t>
            </w:r>
            <w:r w:rsidRPr="0073029B">
              <w:rPr>
                <w:rFonts w:eastAsia="Times New Roman" w:cs="Tahoma"/>
                <w:color w:val="000000"/>
                <w:sz w:val="18"/>
                <w:szCs w:val="18"/>
                <w:lang w:eastAsia="es-CR"/>
              </w:rPr>
              <w:br/>
              <w:t>Pacífico Central: 1.531,69 a 1.647,83</w:t>
            </w:r>
            <w:r w:rsidRPr="0073029B">
              <w:rPr>
                <w:rFonts w:eastAsia="Times New Roman" w:cs="Tahoma"/>
                <w:color w:val="000000"/>
                <w:sz w:val="18"/>
                <w:szCs w:val="18"/>
                <w:lang w:eastAsia="es-CR"/>
              </w:rPr>
              <w:br/>
            </w:r>
            <w:r w:rsidRPr="0073029B">
              <w:rPr>
                <w:rFonts w:eastAsia="Times New Roman" w:cs="Tahoma"/>
                <w:color w:val="000000"/>
                <w:sz w:val="18"/>
                <w:szCs w:val="18"/>
                <w:lang w:eastAsia="es-CR"/>
              </w:rPr>
              <w:br/>
            </w:r>
            <w:r w:rsidRPr="0073029B">
              <w:rPr>
                <w:rFonts w:eastAsia="Times New Roman" w:cs="Tahoma"/>
                <w:b/>
                <w:color w:val="000000"/>
                <w:sz w:val="18"/>
                <w:szCs w:val="18"/>
                <w:lang w:eastAsia="es-CR"/>
              </w:rPr>
              <w:t>2026</w:t>
            </w:r>
            <w:r w:rsidRPr="0073029B">
              <w:rPr>
                <w:rFonts w:eastAsia="Times New Roman" w:cs="Tahoma"/>
                <w:color w:val="000000"/>
                <w:sz w:val="18"/>
                <w:szCs w:val="18"/>
                <w:lang w:eastAsia="es-CR"/>
              </w:rPr>
              <w:br/>
              <w:t>Brunca: 1.092,75 a 1.105,10</w:t>
            </w:r>
            <w:r w:rsidRPr="0073029B">
              <w:rPr>
                <w:rFonts w:eastAsia="Times New Roman" w:cs="Tahoma"/>
                <w:color w:val="000000"/>
                <w:sz w:val="18"/>
                <w:szCs w:val="18"/>
                <w:lang w:eastAsia="es-CR"/>
              </w:rPr>
              <w:br/>
              <w:t>Central: 1.168,27 a 1.176,68</w:t>
            </w:r>
            <w:r w:rsidRPr="0073029B">
              <w:rPr>
                <w:rFonts w:eastAsia="Times New Roman" w:cs="Tahoma"/>
                <w:color w:val="000000"/>
                <w:sz w:val="18"/>
                <w:szCs w:val="18"/>
                <w:lang w:eastAsia="es-CR"/>
              </w:rPr>
              <w:br/>
              <w:t>Chorotega: 1.032,51 a 1.210,65</w:t>
            </w:r>
            <w:r w:rsidRPr="0073029B">
              <w:rPr>
                <w:rFonts w:eastAsia="Times New Roman" w:cs="Tahoma"/>
                <w:color w:val="000000"/>
                <w:sz w:val="18"/>
                <w:szCs w:val="18"/>
                <w:lang w:eastAsia="es-CR"/>
              </w:rPr>
              <w:br/>
              <w:t>Huetar Caribe: 1.200,78 a 1.264,55</w:t>
            </w:r>
            <w:r w:rsidRPr="0073029B">
              <w:rPr>
                <w:rFonts w:eastAsia="Times New Roman" w:cs="Tahoma"/>
                <w:color w:val="000000"/>
                <w:sz w:val="18"/>
                <w:szCs w:val="18"/>
                <w:lang w:eastAsia="es-CR"/>
              </w:rPr>
              <w:br/>
              <w:t>Huetar Norte: 751,64 a 907,14</w:t>
            </w:r>
            <w:r w:rsidRPr="0073029B">
              <w:rPr>
                <w:rFonts w:eastAsia="Times New Roman" w:cs="Tahoma"/>
                <w:color w:val="000000"/>
                <w:sz w:val="18"/>
                <w:szCs w:val="18"/>
                <w:lang w:eastAsia="es-CR"/>
              </w:rPr>
              <w:br/>
              <w:t>Pacífico Central: 1.511,38 a 1.647,83</w:t>
            </w:r>
          </w:p>
        </w:tc>
        <w:tc>
          <w:tcPr>
            <w:tcW w:w="68" w:type="pct"/>
            <w:shd w:val="clear" w:color="auto" w:fill="auto"/>
            <w:noWrap/>
            <w:vAlign w:val="bottom"/>
            <w:hideMark/>
          </w:tcPr>
          <w:p w14:paraId="6E2CD082" w14:textId="77777777" w:rsidR="003D5273" w:rsidRPr="0073029B" w:rsidRDefault="003D5273" w:rsidP="003D5273">
            <w:pPr>
              <w:spacing w:after="0" w:line="240" w:lineRule="auto"/>
              <w:rPr>
                <w:rFonts w:eastAsia="Times New Roman" w:cs="Tahoma"/>
                <w:sz w:val="18"/>
                <w:szCs w:val="18"/>
                <w:lang w:eastAsia="es-CR"/>
              </w:rPr>
            </w:pPr>
          </w:p>
        </w:tc>
        <w:tc>
          <w:tcPr>
            <w:tcW w:w="649" w:type="pct"/>
            <w:tcBorders>
              <w:top w:val="single" w:sz="4" w:space="0" w:color="auto"/>
            </w:tcBorders>
            <w:shd w:val="clear" w:color="auto" w:fill="538135" w:themeFill="accent6" w:themeFillShade="BF"/>
            <w:noWrap/>
            <w:vAlign w:val="center"/>
            <w:hideMark/>
          </w:tcPr>
          <w:p w14:paraId="4848049C" w14:textId="77777777" w:rsidR="003D5273" w:rsidRPr="0073029B" w:rsidRDefault="003D5273" w:rsidP="003D5273">
            <w:pPr>
              <w:spacing w:after="0" w:line="240" w:lineRule="auto"/>
              <w:rPr>
                <w:rFonts w:eastAsia="Times New Roman" w:cs="Tahoma"/>
                <w:b/>
                <w:bCs/>
                <w:color w:val="FFFFFF" w:themeColor="background1"/>
                <w:sz w:val="18"/>
                <w:szCs w:val="18"/>
                <w:lang w:eastAsia="es-CR"/>
              </w:rPr>
            </w:pPr>
            <w:r w:rsidRPr="0073029B">
              <w:rPr>
                <w:rFonts w:eastAsia="Times New Roman" w:cs="Tahoma"/>
                <w:b/>
                <w:bCs/>
                <w:color w:val="FFFFFF" w:themeColor="background1"/>
                <w:sz w:val="18"/>
                <w:szCs w:val="18"/>
                <w:lang w:eastAsia="es-CR"/>
              </w:rPr>
              <w:t>Nacional</w:t>
            </w:r>
          </w:p>
        </w:tc>
        <w:tc>
          <w:tcPr>
            <w:tcW w:w="386" w:type="pct"/>
            <w:tcBorders>
              <w:top w:val="single" w:sz="4" w:space="0" w:color="auto"/>
            </w:tcBorders>
            <w:shd w:val="clear" w:color="auto" w:fill="538135" w:themeFill="accent6" w:themeFillShade="BF"/>
            <w:noWrap/>
            <w:vAlign w:val="center"/>
            <w:hideMark/>
          </w:tcPr>
          <w:p w14:paraId="0DE5B868" w14:textId="77777777" w:rsidR="003D5273" w:rsidRPr="0073029B" w:rsidRDefault="003D5273" w:rsidP="003D5273">
            <w:pPr>
              <w:spacing w:after="0" w:line="240" w:lineRule="auto"/>
              <w:jc w:val="right"/>
              <w:rPr>
                <w:rFonts w:eastAsia="Times New Roman" w:cs="Tahoma"/>
                <w:b/>
                <w:bCs/>
                <w:color w:val="FFFFFF" w:themeColor="background1"/>
                <w:sz w:val="18"/>
                <w:szCs w:val="18"/>
                <w:lang w:eastAsia="es-CR"/>
              </w:rPr>
            </w:pPr>
            <w:r w:rsidRPr="0073029B">
              <w:rPr>
                <w:rFonts w:eastAsia="Times New Roman" w:cs="Tahoma"/>
                <w:b/>
                <w:bCs/>
                <w:color w:val="FFFFFF" w:themeColor="background1"/>
                <w:sz w:val="18"/>
                <w:szCs w:val="18"/>
                <w:lang w:eastAsia="es-CR"/>
              </w:rPr>
              <w:t>1181,57</w:t>
            </w:r>
          </w:p>
        </w:tc>
        <w:tc>
          <w:tcPr>
            <w:tcW w:w="68" w:type="pct"/>
            <w:shd w:val="clear" w:color="auto" w:fill="auto"/>
            <w:noWrap/>
            <w:hideMark/>
          </w:tcPr>
          <w:p w14:paraId="40E01831" w14:textId="77777777" w:rsidR="003D5273" w:rsidRPr="0073029B" w:rsidRDefault="003D5273" w:rsidP="003D5273">
            <w:pPr>
              <w:spacing w:after="0" w:line="240" w:lineRule="auto"/>
              <w:jc w:val="right"/>
              <w:rPr>
                <w:rFonts w:eastAsia="Times New Roman" w:cs="Tahoma"/>
                <w:b/>
                <w:bCs/>
                <w:color w:val="FFFFFF" w:themeColor="background1"/>
                <w:sz w:val="18"/>
                <w:szCs w:val="18"/>
                <w:lang w:eastAsia="es-CR"/>
              </w:rPr>
            </w:pPr>
          </w:p>
        </w:tc>
        <w:tc>
          <w:tcPr>
            <w:tcW w:w="318" w:type="pct"/>
            <w:tcBorders>
              <w:top w:val="single" w:sz="4" w:space="0" w:color="auto"/>
              <w:left w:val="nil"/>
              <w:bottom w:val="nil"/>
              <w:right w:val="nil"/>
            </w:tcBorders>
            <w:shd w:val="clear" w:color="000000" w:fill="548235"/>
            <w:vAlign w:val="bottom"/>
          </w:tcPr>
          <w:p w14:paraId="2C026817" w14:textId="467273A8" w:rsidR="003D5273" w:rsidRPr="003D5273" w:rsidRDefault="003D5273" w:rsidP="003D5273">
            <w:pPr>
              <w:spacing w:after="0" w:line="240" w:lineRule="auto"/>
              <w:jc w:val="right"/>
              <w:rPr>
                <w:rFonts w:eastAsia="Times New Roman" w:cs="Tahoma"/>
                <w:b/>
                <w:bCs/>
                <w:color w:val="FFFFFF" w:themeColor="background1"/>
                <w:sz w:val="18"/>
                <w:szCs w:val="18"/>
                <w:lang w:eastAsia="es-CR"/>
              </w:rPr>
            </w:pPr>
            <w:r w:rsidRPr="003D5273">
              <w:rPr>
                <w:rFonts w:cs="Tahoma"/>
                <w:b/>
                <w:bCs/>
                <w:color w:val="FFFFFF"/>
                <w:sz w:val="18"/>
                <w:szCs w:val="18"/>
              </w:rPr>
              <w:t>938,94</w:t>
            </w:r>
          </w:p>
        </w:tc>
        <w:tc>
          <w:tcPr>
            <w:tcW w:w="273" w:type="pct"/>
            <w:tcBorders>
              <w:top w:val="single" w:sz="4" w:space="0" w:color="auto"/>
              <w:left w:val="nil"/>
              <w:bottom w:val="nil"/>
              <w:right w:val="nil"/>
            </w:tcBorders>
            <w:shd w:val="clear" w:color="000000" w:fill="548235"/>
            <w:vAlign w:val="bottom"/>
          </w:tcPr>
          <w:p w14:paraId="5FBDFDB7" w14:textId="7780E044" w:rsidR="003D5273" w:rsidRPr="003D5273" w:rsidRDefault="003D5273" w:rsidP="003D5273">
            <w:pPr>
              <w:spacing w:after="0" w:line="240" w:lineRule="auto"/>
              <w:jc w:val="right"/>
              <w:rPr>
                <w:rFonts w:eastAsia="Times New Roman" w:cs="Tahoma"/>
                <w:b/>
                <w:bCs/>
                <w:color w:val="FFFFFF" w:themeColor="background1"/>
                <w:sz w:val="18"/>
                <w:szCs w:val="18"/>
                <w:lang w:eastAsia="es-CR"/>
              </w:rPr>
            </w:pPr>
            <w:r w:rsidRPr="003D5273">
              <w:rPr>
                <w:rFonts w:cs="Tahoma"/>
                <w:b/>
                <w:bCs/>
                <w:color w:val="FFFFFF"/>
                <w:sz w:val="18"/>
                <w:szCs w:val="18"/>
              </w:rPr>
              <w:t>837,65</w:t>
            </w:r>
          </w:p>
        </w:tc>
        <w:tc>
          <w:tcPr>
            <w:tcW w:w="709" w:type="pct"/>
            <w:tcBorders>
              <w:top w:val="single" w:sz="4" w:space="0" w:color="auto"/>
              <w:left w:val="nil"/>
              <w:bottom w:val="nil"/>
              <w:right w:val="nil"/>
            </w:tcBorders>
            <w:shd w:val="clear" w:color="auto" w:fill="538135" w:themeFill="accent6" w:themeFillShade="BF"/>
            <w:noWrap/>
            <w:vAlign w:val="center"/>
            <w:hideMark/>
          </w:tcPr>
          <w:p w14:paraId="700CE24B" w14:textId="1612867C" w:rsidR="003D5273" w:rsidRPr="0073029B" w:rsidRDefault="003D5273" w:rsidP="003D5273">
            <w:pPr>
              <w:spacing w:after="0" w:line="240" w:lineRule="auto"/>
              <w:jc w:val="right"/>
              <w:rPr>
                <w:rFonts w:eastAsia="Times New Roman" w:cs="Tahoma"/>
                <w:b/>
                <w:bCs/>
                <w:color w:val="FFFFFF" w:themeColor="background1"/>
                <w:sz w:val="18"/>
                <w:szCs w:val="18"/>
                <w:lang w:eastAsia="es-CR"/>
              </w:rPr>
            </w:pPr>
            <w:r w:rsidRPr="0073029B">
              <w:rPr>
                <w:rFonts w:eastAsia="Times New Roman" w:cs="Tahoma"/>
                <w:b/>
                <w:bCs/>
                <w:color w:val="FFFFFF" w:themeColor="background1"/>
                <w:sz w:val="18"/>
                <w:szCs w:val="18"/>
                <w:lang w:eastAsia="es-CR"/>
              </w:rPr>
              <w:t xml:space="preserve"> 1181,57 a 1192,16 </w:t>
            </w:r>
          </w:p>
        </w:tc>
        <w:tc>
          <w:tcPr>
            <w:tcW w:w="639" w:type="pct"/>
            <w:tcBorders>
              <w:top w:val="nil"/>
              <w:left w:val="nil"/>
              <w:bottom w:val="nil"/>
              <w:right w:val="nil"/>
            </w:tcBorders>
            <w:shd w:val="clear" w:color="000000" w:fill="548235"/>
            <w:noWrap/>
            <w:vAlign w:val="bottom"/>
          </w:tcPr>
          <w:p w14:paraId="395256ED" w14:textId="77777777" w:rsidR="003D5273" w:rsidRPr="00780BF1" w:rsidRDefault="003D5273" w:rsidP="003D5273">
            <w:pPr>
              <w:spacing w:after="0" w:line="240" w:lineRule="auto"/>
              <w:jc w:val="right"/>
              <w:rPr>
                <w:rFonts w:eastAsia="Times New Roman" w:cs="Tahoma"/>
                <w:b/>
                <w:bCs/>
                <w:color w:val="FFFFFF" w:themeColor="background1"/>
                <w:sz w:val="18"/>
                <w:szCs w:val="18"/>
                <w:lang w:eastAsia="es-CR"/>
              </w:rPr>
            </w:pPr>
            <w:r w:rsidRPr="00780BF1">
              <w:rPr>
                <w:rFonts w:cs="Tahoma"/>
                <w:b/>
                <w:bCs/>
                <w:color w:val="FFFFFF"/>
                <w:sz w:val="18"/>
                <w:szCs w:val="18"/>
              </w:rPr>
              <w:t xml:space="preserve">                   780,02 </w:t>
            </w:r>
          </w:p>
        </w:tc>
        <w:tc>
          <w:tcPr>
            <w:tcW w:w="760" w:type="pct"/>
            <w:tcBorders>
              <w:top w:val="nil"/>
              <w:left w:val="nil"/>
              <w:bottom w:val="nil"/>
              <w:right w:val="nil"/>
            </w:tcBorders>
            <w:shd w:val="clear" w:color="auto" w:fill="538135" w:themeFill="accent6" w:themeFillShade="BF"/>
            <w:noWrap/>
            <w:vAlign w:val="center"/>
          </w:tcPr>
          <w:p w14:paraId="26DD895B" w14:textId="77777777" w:rsidR="003D5273" w:rsidRPr="0073029B" w:rsidRDefault="003D5273" w:rsidP="003D5273">
            <w:pPr>
              <w:spacing w:after="0" w:line="240" w:lineRule="auto"/>
              <w:jc w:val="center"/>
              <w:rPr>
                <w:rFonts w:eastAsia="Times New Roman" w:cs="Tahoma"/>
                <w:b/>
                <w:bCs/>
                <w:color w:val="FFFFFF" w:themeColor="background1"/>
                <w:sz w:val="18"/>
                <w:szCs w:val="18"/>
                <w:lang w:eastAsia="es-CR"/>
              </w:rPr>
            </w:pPr>
            <w:r w:rsidRPr="0073029B">
              <w:rPr>
                <w:rFonts w:cs="Tahoma"/>
                <w:b/>
                <w:color w:val="FFFFFF" w:themeColor="background1"/>
                <w:sz w:val="18"/>
              </w:rPr>
              <w:t>Cumplimiento alto</w:t>
            </w:r>
          </w:p>
        </w:tc>
      </w:tr>
      <w:tr w:rsidR="00522D1B" w:rsidRPr="0073029B" w14:paraId="554ED6C0" w14:textId="77777777" w:rsidTr="00AE52E4">
        <w:trPr>
          <w:gridAfter w:val="2"/>
          <w:wAfter w:w="60" w:type="pct"/>
          <w:trHeight w:val="20"/>
          <w:jc w:val="center"/>
        </w:trPr>
        <w:tc>
          <w:tcPr>
            <w:tcW w:w="1071" w:type="pct"/>
            <w:vMerge/>
            <w:tcBorders>
              <w:bottom w:val="single" w:sz="4" w:space="0" w:color="auto"/>
            </w:tcBorders>
            <w:shd w:val="clear" w:color="auto" w:fill="auto"/>
            <w:hideMark/>
          </w:tcPr>
          <w:p w14:paraId="29CD976E" w14:textId="77777777" w:rsidR="003D5273" w:rsidRPr="0073029B" w:rsidRDefault="003D5273" w:rsidP="003D5273">
            <w:pPr>
              <w:spacing w:after="0" w:line="240" w:lineRule="auto"/>
              <w:rPr>
                <w:rFonts w:eastAsia="Times New Roman" w:cs="Tahoma"/>
                <w:color w:val="000000"/>
                <w:sz w:val="18"/>
                <w:szCs w:val="18"/>
                <w:lang w:eastAsia="es-CR"/>
              </w:rPr>
            </w:pPr>
            <w:bookmarkStart w:id="7" w:name="_Hlk156672281"/>
          </w:p>
        </w:tc>
        <w:tc>
          <w:tcPr>
            <w:tcW w:w="68" w:type="pct"/>
            <w:shd w:val="clear" w:color="auto" w:fill="auto"/>
            <w:noWrap/>
            <w:hideMark/>
          </w:tcPr>
          <w:p w14:paraId="4F371500" w14:textId="77777777" w:rsidR="003D5273" w:rsidRPr="0073029B" w:rsidRDefault="003D5273" w:rsidP="003D5273">
            <w:pPr>
              <w:spacing w:after="0" w:line="240" w:lineRule="auto"/>
              <w:rPr>
                <w:rFonts w:eastAsia="Times New Roman" w:cs="Tahoma"/>
                <w:color w:val="000000"/>
                <w:sz w:val="18"/>
                <w:szCs w:val="18"/>
                <w:lang w:eastAsia="es-CR"/>
              </w:rPr>
            </w:pPr>
          </w:p>
        </w:tc>
        <w:tc>
          <w:tcPr>
            <w:tcW w:w="649" w:type="pct"/>
            <w:shd w:val="clear" w:color="auto" w:fill="auto"/>
            <w:noWrap/>
            <w:vAlign w:val="center"/>
            <w:hideMark/>
          </w:tcPr>
          <w:p w14:paraId="0F2D8A21"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ASALTO</w:t>
            </w:r>
          </w:p>
        </w:tc>
        <w:tc>
          <w:tcPr>
            <w:tcW w:w="386" w:type="pct"/>
            <w:shd w:val="clear" w:color="auto" w:fill="auto"/>
            <w:noWrap/>
            <w:vAlign w:val="center"/>
            <w:hideMark/>
          </w:tcPr>
          <w:p w14:paraId="6118C165"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364,06</w:t>
            </w:r>
          </w:p>
        </w:tc>
        <w:tc>
          <w:tcPr>
            <w:tcW w:w="68" w:type="pct"/>
            <w:shd w:val="clear" w:color="000000" w:fill="FFFFFF"/>
            <w:noWrap/>
            <w:hideMark/>
          </w:tcPr>
          <w:p w14:paraId="0DC01C62"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auto" w:fill="auto"/>
            <w:vAlign w:val="bottom"/>
          </w:tcPr>
          <w:p w14:paraId="176EC8CB" w14:textId="2FCBC388"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240,53</w:t>
            </w:r>
          </w:p>
        </w:tc>
        <w:tc>
          <w:tcPr>
            <w:tcW w:w="273" w:type="pct"/>
            <w:tcBorders>
              <w:top w:val="nil"/>
              <w:left w:val="nil"/>
              <w:bottom w:val="nil"/>
              <w:right w:val="nil"/>
            </w:tcBorders>
            <w:shd w:val="clear" w:color="auto" w:fill="auto"/>
            <w:vAlign w:val="bottom"/>
          </w:tcPr>
          <w:p w14:paraId="58AB3F85" w14:textId="26287C27"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213,74</w:t>
            </w:r>
          </w:p>
        </w:tc>
        <w:tc>
          <w:tcPr>
            <w:tcW w:w="709" w:type="pct"/>
            <w:tcBorders>
              <w:top w:val="nil"/>
              <w:left w:val="nil"/>
              <w:bottom w:val="nil"/>
              <w:right w:val="nil"/>
            </w:tcBorders>
            <w:shd w:val="clear" w:color="auto" w:fill="auto"/>
            <w:noWrap/>
            <w:vAlign w:val="center"/>
            <w:hideMark/>
          </w:tcPr>
          <w:p w14:paraId="1E0D832B" w14:textId="528BCFAF"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364,06 a 398,58</w:t>
            </w:r>
          </w:p>
        </w:tc>
        <w:tc>
          <w:tcPr>
            <w:tcW w:w="639" w:type="pct"/>
            <w:tcBorders>
              <w:top w:val="nil"/>
              <w:left w:val="nil"/>
              <w:bottom w:val="nil"/>
              <w:right w:val="nil"/>
            </w:tcBorders>
            <w:shd w:val="clear" w:color="auto" w:fill="auto"/>
            <w:noWrap/>
            <w:vAlign w:val="bottom"/>
          </w:tcPr>
          <w:p w14:paraId="076DB881"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183,33 </w:t>
            </w:r>
          </w:p>
        </w:tc>
        <w:tc>
          <w:tcPr>
            <w:tcW w:w="760" w:type="pct"/>
            <w:tcBorders>
              <w:top w:val="nil"/>
              <w:left w:val="nil"/>
              <w:bottom w:val="nil"/>
              <w:right w:val="nil"/>
            </w:tcBorders>
            <w:shd w:val="clear" w:color="000000" w:fill="70AD47"/>
            <w:noWrap/>
            <w:vAlign w:val="center"/>
          </w:tcPr>
          <w:p w14:paraId="174BE2F7"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34C474EE" w14:textId="77777777" w:rsidTr="00AE52E4">
        <w:trPr>
          <w:gridAfter w:val="2"/>
          <w:wAfter w:w="60" w:type="pct"/>
          <w:trHeight w:val="20"/>
          <w:jc w:val="center"/>
        </w:trPr>
        <w:tc>
          <w:tcPr>
            <w:tcW w:w="1071" w:type="pct"/>
            <w:vMerge/>
            <w:tcBorders>
              <w:bottom w:val="single" w:sz="4" w:space="0" w:color="auto"/>
            </w:tcBorders>
            <w:vAlign w:val="center"/>
            <w:hideMark/>
          </w:tcPr>
          <w:p w14:paraId="4C91665B"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01108C66"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72E6E8A3"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HOMICIDIO</w:t>
            </w:r>
          </w:p>
        </w:tc>
        <w:tc>
          <w:tcPr>
            <w:tcW w:w="386" w:type="pct"/>
            <w:shd w:val="clear" w:color="auto" w:fill="auto"/>
            <w:noWrap/>
            <w:vAlign w:val="center"/>
            <w:hideMark/>
          </w:tcPr>
          <w:p w14:paraId="1F77AF47"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11,13</w:t>
            </w:r>
          </w:p>
        </w:tc>
        <w:tc>
          <w:tcPr>
            <w:tcW w:w="68" w:type="pct"/>
            <w:shd w:val="clear" w:color="000000" w:fill="FFFFFF"/>
            <w:noWrap/>
            <w:hideMark/>
          </w:tcPr>
          <w:p w14:paraId="4D8BF1C3"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000000" w:fill="FF0000"/>
            <w:vAlign w:val="bottom"/>
          </w:tcPr>
          <w:p w14:paraId="436FB985" w14:textId="37190788"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17,18</w:t>
            </w:r>
          </w:p>
        </w:tc>
        <w:tc>
          <w:tcPr>
            <w:tcW w:w="273" w:type="pct"/>
            <w:tcBorders>
              <w:top w:val="nil"/>
              <w:left w:val="nil"/>
              <w:bottom w:val="nil"/>
              <w:right w:val="nil"/>
            </w:tcBorders>
            <w:shd w:val="clear" w:color="000000" w:fill="FF0000"/>
            <w:vAlign w:val="bottom"/>
          </w:tcPr>
          <w:p w14:paraId="7DF00B49" w14:textId="7A2FA9EC"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16,55</w:t>
            </w:r>
          </w:p>
        </w:tc>
        <w:tc>
          <w:tcPr>
            <w:tcW w:w="709" w:type="pct"/>
            <w:tcBorders>
              <w:top w:val="nil"/>
              <w:left w:val="nil"/>
              <w:bottom w:val="nil"/>
              <w:right w:val="nil"/>
            </w:tcBorders>
            <w:shd w:val="clear" w:color="auto" w:fill="auto"/>
            <w:noWrap/>
            <w:vAlign w:val="center"/>
            <w:hideMark/>
          </w:tcPr>
          <w:p w14:paraId="0CC69DCF" w14:textId="32799904"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11,13 a 11,92</w:t>
            </w:r>
          </w:p>
        </w:tc>
        <w:tc>
          <w:tcPr>
            <w:tcW w:w="639" w:type="pct"/>
            <w:tcBorders>
              <w:top w:val="nil"/>
              <w:left w:val="nil"/>
              <w:bottom w:val="nil"/>
              <w:right w:val="nil"/>
            </w:tcBorders>
            <w:shd w:val="clear" w:color="000000" w:fill="FF0000"/>
            <w:noWrap/>
            <w:vAlign w:val="bottom"/>
          </w:tcPr>
          <w:p w14:paraId="3AA0CB1E" w14:textId="77777777" w:rsidR="003D5273" w:rsidRPr="00780BF1" w:rsidRDefault="003D5273" w:rsidP="003D5273">
            <w:pPr>
              <w:spacing w:after="0" w:line="240" w:lineRule="auto"/>
              <w:jc w:val="right"/>
              <w:rPr>
                <w:rFonts w:eastAsia="Times New Roman" w:cs="Tahoma"/>
                <w:b/>
                <w:color w:val="FFFFFF" w:themeColor="background1"/>
                <w:sz w:val="18"/>
                <w:szCs w:val="18"/>
                <w:lang w:eastAsia="es-CR"/>
              </w:rPr>
            </w:pPr>
            <w:r w:rsidRPr="00780BF1">
              <w:rPr>
                <w:rFonts w:cs="Tahoma"/>
                <w:color w:val="FFFFFF" w:themeColor="background1"/>
                <w:sz w:val="18"/>
                <w:szCs w:val="18"/>
              </w:rPr>
              <w:t xml:space="preserve">                     16,49 </w:t>
            </w:r>
          </w:p>
        </w:tc>
        <w:tc>
          <w:tcPr>
            <w:tcW w:w="760" w:type="pct"/>
            <w:tcBorders>
              <w:top w:val="nil"/>
              <w:left w:val="nil"/>
              <w:bottom w:val="nil"/>
              <w:right w:val="nil"/>
            </w:tcBorders>
            <w:shd w:val="clear" w:color="000000" w:fill="FF0000"/>
            <w:noWrap/>
            <w:vAlign w:val="center"/>
          </w:tcPr>
          <w:p w14:paraId="459D0B39"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bajo</w:t>
            </w:r>
          </w:p>
        </w:tc>
      </w:tr>
      <w:tr w:rsidR="00522D1B" w:rsidRPr="0073029B" w14:paraId="23681E7D" w14:textId="77777777" w:rsidTr="00AE52E4">
        <w:trPr>
          <w:gridAfter w:val="2"/>
          <w:wAfter w:w="60" w:type="pct"/>
          <w:trHeight w:val="20"/>
          <w:jc w:val="center"/>
        </w:trPr>
        <w:tc>
          <w:tcPr>
            <w:tcW w:w="1071" w:type="pct"/>
            <w:vMerge/>
            <w:tcBorders>
              <w:bottom w:val="single" w:sz="4" w:space="0" w:color="auto"/>
            </w:tcBorders>
            <w:vAlign w:val="center"/>
            <w:hideMark/>
          </w:tcPr>
          <w:p w14:paraId="6FC6A586"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32C9086E"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65553C73"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HURTO</w:t>
            </w:r>
          </w:p>
        </w:tc>
        <w:tc>
          <w:tcPr>
            <w:tcW w:w="386" w:type="pct"/>
            <w:shd w:val="clear" w:color="auto" w:fill="auto"/>
            <w:noWrap/>
            <w:vAlign w:val="center"/>
            <w:hideMark/>
          </w:tcPr>
          <w:p w14:paraId="11FCF57A"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369,73</w:t>
            </w:r>
          </w:p>
        </w:tc>
        <w:tc>
          <w:tcPr>
            <w:tcW w:w="68" w:type="pct"/>
            <w:shd w:val="clear" w:color="000000" w:fill="FFFFFF"/>
            <w:noWrap/>
            <w:hideMark/>
          </w:tcPr>
          <w:p w14:paraId="3061F9CD"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auto" w:fill="auto"/>
            <w:vAlign w:val="bottom"/>
          </w:tcPr>
          <w:p w14:paraId="57BED377" w14:textId="5642BF0D"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310,44</w:t>
            </w:r>
          </w:p>
        </w:tc>
        <w:tc>
          <w:tcPr>
            <w:tcW w:w="273" w:type="pct"/>
            <w:tcBorders>
              <w:top w:val="nil"/>
              <w:left w:val="nil"/>
              <w:bottom w:val="nil"/>
              <w:right w:val="nil"/>
            </w:tcBorders>
            <w:shd w:val="clear" w:color="auto" w:fill="auto"/>
            <w:vAlign w:val="bottom"/>
          </w:tcPr>
          <w:p w14:paraId="21329B58" w14:textId="1196C710"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278,81</w:t>
            </w:r>
          </w:p>
        </w:tc>
        <w:tc>
          <w:tcPr>
            <w:tcW w:w="709" w:type="pct"/>
            <w:tcBorders>
              <w:top w:val="nil"/>
              <w:left w:val="nil"/>
              <w:bottom w:val="nil"/>
              <w:right w:val="nil"/>
            </w:tcBorders>
            <w:shd w:val="clear" w:color="auto" w:fill="auto"/>
            <w:noWrap/>
            <w:vAlign w:val="center"/>
            <w:hideMark/>
          </w:tcPr>
          <w:p w14:paraId="39B8F4F4" w14:textId="301B44FE"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327,72 a 369,73</w:t>
            </w:r>
          </w:p>
        </w:tc>
        <w:tc>
          <w:tcPr>
            <w:tcW w:w="639" w:type="pct"/>
            <w:tcBorders>
              <w:top w:val="nil"/>
              <w:left w:val="nil"/>
              <w:bottom w:val="nil"/>
              <w:right w:val="nil"/>
            </w:tcBorders>
            <w:shd w:val="clear" w:color="auto" w:fill="auto"/>
            <w:noWrap/>
            <w:vAlign w:val="bottom"/>
          </w:tcPr>
          <w:p w14:paraId="079A196C"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254,94 </w:t>
            </w:r>
          </w:p>
        </w:tc>
        <w:tc>
          <w:tcPr>
            <w:tcW w:w="760" w:type="pct"/>
            <w:tcBorders>
              <w:top w:val="nil"/>
              <w:left w:val="nil"/>
              <w:bottom w:val="nil"/>
              <w:right w:val="nil"/>
            </w:tcBorders>
            <w:shd w:val="clear" w:color="000000" w:fill="70AD47"/>
            <w:noWrap/>
            <w:vAlign w:val="center"/>
          </w:tcPr>
          <w:p w14:paraId="3DCE0379"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6BE1FC9A" w14:textId="77777777" w:rsidTr="00AE52E4">
        <w:trPr>
          <w:gridAfter w:val="2"/>
          <w:wAfter w:w="60" w:type="pct"/>
          <w:trHeight w:val="20"/>
          <w:jc w:val="center"/>
        </w:trPr>
        <w:tc>
          <w:tcPr>
            <w:tcW w:w="1071" w:type="pct"/>
            <w:vMerge/>
            <w:tcBorders>
              <w:bottom w:val="single" w:sz="4" w:space="0" w:color="auto"/>
            </w:tcBorders>
            <w:vAlign w:val="center"/>
            <w:hideMark/>
          </w:tcPr>
          <w:p w14:paraId="6C66599B"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2D8871FE"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6689D94A"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w:t>
            </w:r>
          </w:p>
        </w:tc>
        <w:tc>
          <w:tcPr>
            <w:tcW w:w="386" w:type="pct"/>
            <w:shd w:val="clear" w:color="auto" w:fill="auto"/>
            <w:noWrap/>
            <w:vAlign w:val="center"/>
            <w:hideMark/>
          </w:tcPr>
          <w:p w14:paraId="5161D8AE"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256,78</w:t>
            </w:r>
          </w:p>
        </w:tc>
        <w:tc>
          <w:tcPr>
            <w:tcW w:w="68" w:type="pct"/>
            <w:shd w:val="clear" w:color="000000" w:fill="FFFFFF"/>
            <w:noWrap/>
            <w:hideMark/>
          </w:tcPr>
          <w:p w14:paraId="31C25B29"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auto" w:fill="auto"/>
            <w:vAlign w:val="bottom"/>
          </w:tcPr>
          <w:p w14:paraId="7E2F2DC8" w14:textId="59A83CF9"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207,31</w:t>
            </w:r>
          </w:p>
        </w:tc>
        <w:tc>
          <w:tcPr>
            <w:tcW w:w="273" w:type="pct"/>
            <w:tcBorders>
              <w:top w:val="nil"/>
              <w:left w:val="nil"/>
              <w:bottom w:val="nil"/>
              <w:right w:val="nil"/>
            </w:tcBorders>
            <w:shd w:val="clear" w:color="auto" w:fill="auto"/>
            <w:vAlign w:val="bottom"/>
          </w:tcPr>
          <w:p w14:paraId="2D25EEB9" w14:textId="605F5BE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165,59</w:t>
            </w:r>
          </w:p>
        </w:tc>
        <w:tc>
          <w:tcPr>
            <w:tcW w:w="709" w:type="pct"/>
            <w:tcBorders>
              <w:top w:val="nil"/>
              <w:left w:val="nil"/>
              <w:bottom w:val="nil"/>
              <w:right w:val="nil"/>
            </w:tcBorders>
            <w:shd w:val="clear" w:color="auto" w:fill="auto"/>
            <w:noWrap/>
            <w:vAlign w:val="center"/>
            <w:hideMark/>
          </w:tcPr>
          <w:p w14:paraId="08300678" w14:textId="3B9062AA"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249,98 a 256,78</w:t>
            </w:r>
          </w:p>
        </w:tc>
        <w:tc>
          <w:tcPr>
            <w:tcW w:w="639" w:type="pct"/>
            <w:tcBorders>
              <w:top w:val="nil"/>
              <w:left w:val="nil"/>
              <w:bottom w:val="nil"/>
              <w:right w:val="nil"/>
            </w:tcBorders>
            <w:shd w:val="clear" w:color="auto" w:fill="auto"/>
            <w:noWrap/>
            <w:vAlign w:val="bottom"/>
          </w:tcPr>
          <w:p w14:paraId="3574E384"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144,09 </w:t>
            </w:r>
          </w:p>
        </w:tc>
        <w:tc>
          <w:tcPr>
            <w:tcW w:w="760" w:type="pct"/>
            <w:tcBorders>
              <w:top w:val="nil"/>
              <w:left w:val="nil"/>
              <w:bottom w:val="nil"/>
              <w:right w:val="nil"/>
            </w:tcBorders>
            <w:shd w:val="clear" w:color="000000" w:fill="70AD47"/>
            <w:noWrap/>
            <w:vAlign w:val="center"/>
          </w:tcPr>
          <w:p w14:paraId="60490216"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315171D9" w14:textId="77777777" w:rsidTr="00AE52E4">
        <w:trPr>
          <w:gridAfter w:val="2"/>
          <w:wAfter w:w="60" w:type="pct"/>
          <w:trHeight w:val="20"/>
          <w:jc w:val="center"/>
        </w:trPr>
        <w:tc>
          <w:tcPr>
            <w:tcW w:w="1071" w:type="pct"/>
            <w:vMerge/>
            <w:tcBorders>
              <w:bottom w:val="single" w:sz="4" w:space="0" w:color="auto"/>
            </w:tcBorders>
            <w:vAlign w:val="center"/>
            <w:hideMark/>
          </w:tcPr>
          <w:p w14:paraId="57A48E63"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5EF76246"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5382105D"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 DE VEHICULO</w:t>
            </w:r>
          </w:p>
        </w:tc>
        <w:tc>
          <w:tcPr>
            <w:tcW w:w="386" w:type="pct"/>
            <w:shd w:val="clear" w:color="auto" w:fill="auto"/>
            <w:noWrap/>
            <w:vAlign w:val="center"/>
            <w:hideMark/>
          </w:tcPr>
          <w:p w14:paraId="3FBAA011"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90,35</w:t>
            </w:r>
          </w:p>
        </w:tc>
        <w:tc>
          <w:tcPr>
            <w:tcW w:w="68" w:type="pct"/>
            <w:shd w:val="clear" w:color="000000" w:fill="FFFFFF"/>
            <w:noWrap/>
            <w:hideMark/>
          </w:tcPr>
          <w:p w14:paraId="759B95AC"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auto" w:fill="auto"/>
            <w:vAlign w:val="bottom"/>
          </w:tcPr>
          <w:p w14:paraId="59228D42" w14:textId="263801D6"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90,30</w:t>
            </w:r>
          </w:p>
        </w:tc>
        <w:tc>
          <w:tcPr>
            <w:tcW w:w="273" w:type="pct"/>
            <w:tcBorders>
              <w:top w:val="nil"/>
              <w:left w:val="nil"/>
              <w:bottom w:val="nil"/>
              <w:right w:val="nil"/>
            </w:tcBorders>
            <w:shd w:val="clear" w:color="auto" w:fill="auto"/>
            <w:vAlign w:val="bottom"/>
          </w:tcPr>
          <w:p w14:paraId="79F07624" w14:textId="45554B0A"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95,07</w:t>
            </w:r>
          </w:p>
        </w:tc>
        <w:tc>
          <w:tcPr>
            <w:tcW w:w="709" w:type="pct"/>
            <w:tcBorders>
              <w:top w:val="nil"/>
              <w:left w:val="nil"/>
              <w:right w:val="nil"/>
            </w:tcBorders>
            <w:shd w:val="clear" w:color="auto" w:fill="auto"/>
            <w:noWrap/>
            <w:vAlign w:val="center"/>
            <w:hideMark/>
          </w:tcPr>
          <w:p w14:paraId="6CC9DE18" w14:textId="0C1E1AA2"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90,35 a 101,57</w:t>
            </w:r>
          </w:p>
        </w:tc>
        <w:tc>
          <w:tcPr>
            <w:tcW w:w="639" w:type="pct"/>
            <w:tcBorders>
              <w:top w:val="nil"/>
              <w:left w:val="nil"/>
              <w:right w:val="nil"/>
            </w:tcBorders>
            <w:shd w:val="clear" w:color="auto" w:fill="auto"/>
            <w:noWrap/>
            <w:vAlign w:val="bottom"/>
          </w:tcPr>
          <w:p w14:paraId="175A2D3E"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98,15 </w:t>
            </w:r>
          </w:p>
        </w:tc>
        <w:tc>
          <w:tcPr>
            <w:tcW w:w="760" w:type="pct"/>
            <w:tcBorders>
              <w:top w:val="nil"/>
              <w:left w:val="nil"/>
              <w:right w:val="nil"/>
            </w:tcBorders>
            <w:shd w:val="clear" w:color="000000" w:fill="70AD47"/>
            <w:noWrap/>
            <w:vAlign w:val="center"/>
          </w:tcPr>
          <w:p w14:paraId="79865400"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7205DD2F" w14:textId="77777777" w:rsidTr="00AE52E4">
        <w:trPr>
          <w:gridAfter w:val="2"/>
          <w:wAfter w:w="60" w:type="pct"/>
          <w:trHeight w:val="20"/>
          <w:jc w:val="center"/>
        </w:trPr>
        <w:tc>
          <w:tcPr>
            <w:tcW w:w="1071" w:type="pct"/>
            <w:vMerge/>
            <w:tcBorders>
              <w:bottom w:val="single" w:sz="4" w:space="0" w:color="auto"/>
            </w:tcBorders>
            <w:vAlign w:val="center"/>
            <w:hideMark/>
          </w:tcPr>
          <w:p w14:paraId="1C895066"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5ADE263B"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bottom w:val="single" w:sz="4" w:space="0" w:color="auto"/>
            </w:tcBorders>
            <w:shd w:val="clear" w:color="auto" w:fill="auto"/>
            <w:noWrap/>
            <w:vAlign w:val="center"/>
            <w:hideMark/>
          </w:tcPr>
          <w:p w14:paraId="176D82B9"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TACHA DE VEHICULO</w:t>
            </w:r>
          </w:p>
        </w:tc>
        <w:tc>
          <w:tcPr>
            <w:tcW w:w="386" w:type="pct"/>
            <w:tcBorders>
              <w:bottom w:val="single" w:sz="4" w:space="0" w:color="auto"/>
            </w:tcBorders>
            <w:shd w:val="clear" w:color="auto" w:fill="auto"/>
            <w:noWrap/>
            <w:vAlign w:val="center"/>
            <w:hideMark/>
          </w:tcPr>
          <w:p w14:paraId="5F3CAC27"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89,52</w:t>
            </w:r>
          </w:p>
        </w:tc>
        <w:tc>
          <w:tcPr>
            <w:tcW w:w="68" w:type="pct"/>
            <w:shd w:val="clear" w:color="000000" w:fill="FFFFFF"/>
            <w:noWrap/>
            <w:hideMark/>
          </w:tcPr>
          <w:p w14:paraId="35A52FCE"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single" w:sz="4" w:space="0" w:color="auto"/>
              <w:right w:val="nil"/>
            </w:tcBorders>
            <w:shd w:val="clear" w:color="auto" w:fill="auto"/>
            <w:vAlign w:val="bottom"/>
          </w:tcPr>
          <w:p w14:paraId="2FC96DFB" w14:textId="4DAB3F5D"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73,18</w:t>
            </w:r>
          </w:p>
        </w:tc>
        <w:tc>
          <w:tcPr>
            <w:tcW w:w="273" w:type="pct"/>
            <w:tcBorders>
              <w:top w:val="nil"/>
              <w:left w:val="nil"/>
              <w:bottom w:val="single" w:sz="4" w:space="0" w:color="auto"/>
              <w:right w:val="nil"/>
            </w:tcBorders>
            <w:shd w:val="clear" w:color="auto" w:fill="auto"/>
            <w:vAlign w:val="bottom"/>
          </w:tcPr>
          <w:p w14:paraId="41AC7693" w14:textId="742C9938"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67,88</w:t>
            </w:r>
          </w:p>
        </w:tc>
        <w:tc>
          <w:tcPr>
            <w:tcW w:w="709" w:type="pct"/>
            <w:tcBorders>
              <w:top w:val="nil"/>
              <w:left w:val="nil"/>
              <w:bottom w:val="single" w:sz="4" w:space="0" w:color="auto"/>
              <w:right w:val="nil"/>
            </w:tcBorders>
            <w:shd w:val="clear" w:color="auto" w:fill="auto"/>
            <w:noWrap/>
            <w:vAlign w:val="center"/>
            <w:hideMark/>
          </w:tcPr>
          <w:p w14:paraId="1D27D14C" w14:textId="1506D1D4"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89,52 a 102,4</w:t>
            </w:r>
          </w:p>
        </w:tc>
        <w:tc>
          <w:tcPr>
            <w:tcW w:w="639" w:type="pct"/>
            <w:tcBorders>
              <w:top w:val="nil"/>
              <w:left w:val="nil"/>
              <w:bottom w:val="single" w:sz="4" w:space="0" w:color="auto"/>
              <w:right w:val="nil"/>
            </w:tcBorders>
            <w:shd w:val="clear" w:color="auto" w:fill="auto"/>
            <w:noWrap/>
            <w:vAlign w:val="bottom"/>
          </w:tcPr>
          <w:p w14:paraId="1B9513D3"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83,02 </w:t>
            </w:r>
          </w:p>
        </w:tc>
        <w:tc>
          <w:tcPr>
            <w:tcW w:w="760" w:type="pct"/>
            <w:tcBorders>
              <w:top w:val="nil"/>
              <w:left w:val="nil"/>
              <w:bottom w:val="single" w:sz="4" w:space="0" w:color="auto"/>
              <w:right w:val="nil"/>
            </w:tcBorders>
            <w:shd w:val="clear" w:color="000000" w:fill="70AD47"/>
            <w:noWrap/>
            <w:vAlign w:val="center"/>
          </w:tcPr>
          <w:p w14:paraId="41263681"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bookmarkEnd w:id="7"/>
      <w:tr w:rsidR="00ED6AE3" w:rsidRPr="0073029B" w14:paraId="1A3D3B01" w14:textId="77777777" w:rsidTr="00AE52E4">
        <w:trPr>
          <w:gridAfter w:val="2"/>
          <w:wAfter w:w="60" w:type="pct"/>
          <w:trHeight w:val="20"/>
          <w:jc w:val="center"/>
        </w:trPr>
        <w:tc>
          <w:tcPr>
            <w:tcW w:w="1071" w:type="pct"/>
            <w:vMerge/>
            <w:tcBorders>
              <w:bottom w:val="single" w:sz="4" w:space="0" w:color="auto"/>
            </w:tcBorders>
            <w:vAlign w:val="center"/>
            <w:hideMark/>
          </w:tcPr>
          <w:p w14:paraId="66034A9C"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27522A4D"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top w:val="single" w:sz="4" w:space="0" w:color="auto"/>
            </w:tcBorders>
            <w:shd w:val="clear" w:color="000000" w:fill="C6E0B4"/>
            <w:noWrap/>
            <w:vAlign w:val="center"/>
            <w:hideMark/>
          </w:tcPr>
          <w:p w14:paraId="162D8778"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Brunca</w:t>
            </w:r>
          </w:p>
        </w:tc>
        <w:tc>
          <w:tcPr>
            <w:tcW w:w="386" w:type="pct"/>
            <w:tcBorders>
              <w:top w:val="single" w:sz="4" w:space="0" w:color="auto"/>
            </w:tcBorders>
            <w:shd w:val="clear" w:color="000000" w:fill="C6E0B4"/>
            <w:noWrap/>
            <w:vAlign w:val="center"/>
            <w:hideMark/>
          </w:tcPr>
          <w:p w14:paraId="6BB2C29C"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1092,75</w:t>
            </w:r>
          </w:p>
        </w:tc>
        <w:tc>
          <w:tcPr>
            <w:tcW w:w="68" w:type="pct"/>
            <w:shd w:val="clear" w:color="000000" w:fill="FFFFFF"/>
            <w:noWrap/>
            <w:hideMark/>
          </w:tcPr>
          <w:p w14:paraId="43E0C778"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single" w:sz="4" w:space="0" w:color="auto"/>
              <w:left w:val="nil"/>
              <w:bottom w:val="nil"/>
              <w:right w:val="nil"/>
            </w:tcBorders>
            <w:shd w:val="clear" w:color="000000" w:fill="C6E0B4"/>
            <w:vAlign w:val="bottom"/>
          </w:tcPr>
          <w:p w14:paraId="03C46EBA" w14:textId="3DAABDB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944,85</w:t>
            </w:r>
          </w:p>
        </w:tc>
        <w:tc>
          <w:tcPr>
            <w:tcW w:w="273" w:type="pct"/>
            <w:tcBorders>
              <w:top w:val="single" w:sz="4" w:space="0" w:color="auto"/>
              <w:left w:val="nil"/>
              <w:bottom w:val="nil"/>
              <w:right w:val="nil"/>
            </w:tcBorders>
            <w:shd w:val="clear" w:color="000000" w:fill="C6E0B4"/>
            <w:vAlign w:val="bottom"/>
          </w:tcPr>
          <w:p w14:paraId="40E8ACB2" w14:textId="6DFEEA5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845,80</w:t>
            </w:r>
          </w:p>
        </w:tc>
        <w:tc>
          <w:tcPr>
            <w:tcW w:w="709" w:type="pct"/>
            <w:tcBorders>
              <w:top w:val="single" w:sz="4" w:space="0" w:color="auto"/>
              <w:left w:val="nil"/>
              <w:bottom w:val="nil"/>
              <w:right w:val="nil"/>
            </w:tcBorders>
            <w:shd w:val="clear" w:color="000000" w:fill="C6E0B4"/>
            <w:noWrap/>
            <w:vAlign w:val="center"/>
            <w:hideMark/>
          </w:tcPr>
          <w:p w14:paraId="2151168B" w14:textId="4CA7154B"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1092,75 a 1108,99</w:t>
            </w:r>
          </w:p>
        </w:tc>
        <w:tc>
          <w:tcPr>
            <w:tcW w:w="639" w:type="pct"/>
            <w:tcBorders>
              <w:top w:val="single" w:sz="4" w:space="0" w:color="auto"/>
              <w:left w:val="nil"/>
              <w:bottom w:val="nil"/>
              <w:right w:val="nil"/>
            </w:tcBorders>
            <w:shd w:val="clear" w:color="000000" w:fill="C6E0B4"/>
            <w:noWrap/>
            <w:vAlign w:val="bottom"/>
          </w:tcPr>
          <w:p w14:paraId="3EDAA511"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653,14 </w:t>
            </w:r>
          </w:p>
        </w:tc>
        <w:tc>
          <w:tcPr>
            <w:tcW w:w="760" w:type="pct"/>
            <w:tcBorders>
              <w:top w:val="single" w:sz="4" w:space="0" w:color="auto"/>
              <w:left w:val="nil"/>
              <w:bottom w:val="nil"/>
              <w:right w:val="nil"/>
            </w:tcBorders>
            <w:shd w:val="clear" w:color="000000" w:fill="70AD47"/>
            <w:noWrap/>
            <w:vAlign w:val="center"/>
          </w:tcPr>
          <w:p w14:paraId="64FB5D75"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697F81EF" w14:textId="77777777" w:rsidTr="00AE52E4">
        <w:trPr>
          <w:gridAfter w:val="2"/>
          <w:wAfter w:w="60" w:type="pct"/>
          <w:trHeight w:val="20"/>
          <w:jc w:val="center"/>
        </w:trPr>
        <w:tc>
          <w:tcPr>
            <w:tcW w:w="1071" w:type="pct"/>
            <w:vMerge/>
            <w:tcBorders>
              <w:bottom w:val="single" w:sz="4" w:space="0" w:color="auto"/>
            </w:tcBorders>
            <w:vAlign w:val="center"/>
            <w:hideMark/>
          </w:tcPr>
          <w:p w14:paraId="3A0D659D"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2F00001E"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2E114EB3"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ASALTO</w:t>
            </w:r>
          </w:p>
        </w:tc>
        <w:tc>
          <w:tcPr>
            <w:tcW w:w="386" w:type="pct"/>
            <w:shd w:val="clear" w:color="auto" w:fill="auto"/>
            <w:noWrap/>
            <w:vAlign w:val="center"/>
            <w:hideMark/>
          </w:tcPr>
          <w:p w14:paraId="6904EDA9"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104,63</w:t>
            </w:r>
          </w:p>
        </w:tc>
        <w:tc>
          <w:tcPr>
            <w:tcW w:w="68" w:type="pct"/>
            <w:shd w:val="clear" w:color="000000" w:fill="FFFFFF"/>
            <w:noWrap/>
            <w:hideMark/>
          </w:tcPr>
          <w:p w14:paraId="7D1E54EB"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000000" w:fill="FF0000"/>
            <w:vAlign w:val="bottom"/>
          </w:tcPr>
          <w:p w14:paraId="19B2BFE6" w14:textId="5A3CAA4F"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206,65</w:t>
            </w:r>
          </w:p>
        </w:tc>
        <w:tc>
          <w:tcPr>
            <w:tcW w:w="273" w:type="pct"/>
            <w:tcBorders>
              <w:top w:val="nil"/>
              <w:left w:val="nil"/>
              <w:bottom w:val="nil"/>
              <w:right w:val="nil"/>
            </w:tcBorders>
            <w:shd w:val="clear" w:color="000000" w:fill="FF0000"/>
            <w:vAlign w:val="bottom"/>
          </w:tcPr>
          <w:p w14:paraId="6EA39292" w14:textId="6770BBC8"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113,75</w:t>
            </w:r>
          </w:p>
        </w:tc>
        <w:tc>
          <w:tcPr>
            <w:tcW w:w="709" w:type="pct"/>
            <w:tcBorders>
              <w:top w:val="nil"/>
              <w:left w:val="nil"/>
              <w:bottom w:val="nil"/>
              <w:right w:val="nil"/>
            </w:tcBorders>
            <w:shd w:val="clear" w:color="auto" w:fill="auto"/>
            <w:noWrap/>
            <w:vAlign w:val="center"/>
            <w:hideMark/>
          </w:tcPr>
          <w:p w14:paraId="0FACA420" w14:textId="375C6536"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99,07 a 104,63</w:t>
            </w:r>
          </w:p>
        </w:tc>
        <w:tc>
          <w:tcPr>
            <w:tcW w:w="639" w:type="pct"/>
            <w:tcBorders>
              <w:top w:val="nil"/>
              <w:left w:val="nil"/>
              <w:bottom w:val="nil"/>
              <w:right w:val="nil"/>
            </w:tcBorders>
            <w:shd w:val="clear" w:color="auto" w:fill="auto"/>
            <w:noWrap/>
            <w:vAlign w:val="bottom"/>
          </w:tcPr>
          <w:p w14:paraId="6D2110B3" w14:textId="77777777" w:rsidR="003D5273" w:rsidRPr="00780BF1" w:rsidRDefault="003D5273" w:rsidP="003D5273">
            <w:pPr>
              <w:spacing w:after="0" w:line="240" w:lineRule="auto"/>
              <w:jc w:val="right"/>
              <w:rPr>
                <w:rFonts w:cs="Tahoma"/>
                <w:b/>
                <w:color w:val="FFFFFF" w:themeColor="background1"/>
                <w:sz w:val="18"/>
                <w:szCs w:val="18"/>
              </w:rPr>
            </w:pPr>
            <w:r w:rsidRPr="00780BF1">
              <w:rPr>
                <w:rFonts w:cs="Tahoma"/>
                <w:sz w:val="18"/>
                <w:szCs w:val="18"/>
              </w:rPr>
              <w:t xml:space="preserve">                     81,85 </w:t>
            </w:r>
          </w:p>
        </w:tc>
        <w:tc>
          <w:tcPr>
            <w:tcW w:w="760" w:type="pct"/>
            <w:tcBorders>
              <w:top w:val="nil"/>
              <w:left w:val="nil"/>
              <w:bottom w:val="nil"/>
              <w:right w:val="nil"/>
            </w:tcBorders>
            <w:shd w:val="clear" w:color="auto" w:fill="70AD47" w:themeFill="accent6"/>
            <w:noWrap/>
            <w:vAlign w:val="center"/>
          </w:tcPr>
          <w:p w14:paraId="288AA242"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37064F57" w14:textId="77777777" w:rsidTr="00AE52E4">
        <w:trPr>
          <w:gridAfter w:val="2"/>
          <w:wAfter w:w="60" w:type="pct"/>
          <w:trHeight w:val="20"/>
          <w:jc w:val="center"/>
        </w:trPr>
        <w:tc>
          <w:tcPr>
            <w:tcW w:w="1071" w:type="pct"/>
            <w:vMerge/>
            <w:tcBorders>
              <w:bottom w:val="single" w:sz="4" w:space="0" w:color="auto"/>
            </w:tcBorders>
            <w:vAlign w:val="center"/>
            <w:hideMark/>
          </w:tcPr>
          <w:p w14:paraId="5BA8A45C"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6FB644E5"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3E7DFF7A"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HOMICIDIO</w:t>
            </w:r>
          </w:p>
        </w:tc>
        <w:tc>
          <w:tcPr>
            <w:tcW w:w="386" w:type="pct"/>
            <w:shd w:val="clear" w:color="auto" w:fill="auto"/>
            <w:noWrap/>
            <w:vAlign w:val="center"/>
            <w:hideMark/>
          </w:tcPr>
          <w:p w14:paraId="02BEAF96"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7,88</w:t>
            </w:r>
          </w:p>
        </w:tc>
        <w:tc>
          <w:tcPr>
            <w:tcW w:w="68" w:type="pct"/>
            <w:shd w:val="clear" w:color="000000" w:fill="FFFFFF"/>
            <w:noWrap/>
            <w:hideMark/>
          </w:tcPr>
          <w:p w14:paraId="6862ACCF"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000000" w:fill="FF0000"/>
            <w:vAlign w:val="bottom"/>
          </w:tcPr>
          <w:p w14:paraId="5478E9B8" w14:textId="645E8591"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16,78</w:t>
            </w:r>
          </w:p>
        </w:tc>
        <w:tc>
          <w:tcPr>
            <w:tcW w:w="273" w:type="pct"/>
            <w:tcBorders>
              <w:top w:val="nil"/>
              <w:left w:val="nil"/>
              <w:bottom w:val="nil"/>
              <w:right w:val="nil"/>
            </w:tcBorders>
            <w:shd w:val="clear" w:color="auto" w:fill="auto"/>
            <w:vAlign w:val="bottom"/>
          </w:tcPr>
          <w:p w14:paraId="2AC37CC6" w14:textId="6AE0E010"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9,28</w:t>
            </w:r>
          </w:p>
        </w:tc>
        <w:tc>
          <w:tcPr>
            <w:tcW w:w="709" w:type="pct"/>
            <w:tcBorders>
              <w:top w:val="nil"/>
              <w:left w:val="nil"/>
              <w:bottom w:val="nil"/>
              <w:right w:val="nil"/>
            </w:tcBorders>
            <w:shd w:val="clear" w:color="auto" w:fill="auto"/>
            <w:noWrap/>
            <w:vAlign w:val="center"/>
            <w:hideMark/>
          </w:tcPr>
          <w:p w14:paraId="2C8C7E8F" w14:textId="7D8D24A3"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7,88 a 10,25</w:t>
            </w:r>
          </w:p>
        </w:tc>
        <w:tc>
          <w:tcPr>
            <w:tcW w:w="639" w:type="pct"/>
            <w:tcBorders>
              <w:top w:val="nil"/>
              <w:left w:val="nil"/>
              <w:bottom w:val="nil"/>
              <w:right w:val="nil"/>
            </w:tcBorders>
            <w:shd w:val="clear" w:color="000000" w:fill="FF0000"/>
            <w:noWrap/>
            <w:vAlign w:val="bottom"/>
          </w:tcPr>
          <w:p w14:paraId="24DFFA02" w14:textId="77777777" w:rsidR="003D5273" w:rsidRPr="00780BF1" w:rsidRDefault="003D5273" w:rsidP="003D5273">
            <w:pPr>
              <w:spacing w:after="0" w:line="240" w:lineRule="auto"/>
              <w:jc w:val="right"/>
              <w:rPr>
                <w:rFonts w:cs="Tahoma"/>
                <w:b/>
                <w:color w:val="FFFFFF" w:themeColor="background1"/>
                <w:sz w:val="18"/>
                <w:szCs w:val="18"/>
              </w:rPr>
            </w:pPr>
            <w:r w:rsidRPr="00780BF1">
              <w:rPr>
                <w:rFonts w:cs="Tahoma"/>
                <w:sz w:val="18"/>
                <w:szCs w:val="18"/>
              </w:rPr>
              <w:t xml:space="preserve">                     </w:t>
            </w:r>
            <w:r w:rsidRPr="001072FC">
              <w:rPr>
                <w:rFonts w:cs="Tahoma"/>
                <w:color w:val="FFFFFF" w:themeColor="background1"/>
                <w:sz w:val="18"/>
                <w:szCs w:val="18"/>
              </w:rPr>
              <w:t xml:space="preserve">11,61 </w:t>
            </w:r>
          </w:p>
        </w:tc>
        <w:tc>
          <w:tcPr>
            <w:tcW w:w="760" w:type="pct"/>
            <w:tcBorders>
              <w:top w:val="nil"/>
              <w:left w:val="nil"/>
              <w:bottom w:val="nil"/>
              <w:right w:val="nil"/>
            </w:tcBorders>
            <w:shd w:val="clear" w:color="000000" w:fill="FF0000"/>
            <w:noWrap/>
            <w:vAlign w:val="center"/>
          </w:tcPr>
          <w:p w14:paraId="3F86F232"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bajo</w:t>
            </w:r>
          </w:p>
        </w:tc>
      </w:tr>
      <w:tr w:rsidR="00522D1B" w:rsidRPr="0073029B" w14:paraId="41FC53CA" w14:textId="77777777" w:rsidTr="00AE52E4">
        <w:trPr>
          <w:gridAfter w:val="2"/>
          <w:wAfter w:w="60" w:type="pct"/>
          <w:trHeight w:val="20"/>
          <w:jc w:val="center"/>
        </w:trPr>
        <w:tc>
          <w:tcPr>
            <w:tcW w:w="1071" w:type="pct"/>
            <w:vMerge/>
            <w:tcBorders>
              <w:bottom w:val="single" w:sz="4" w:space="0" w:color="auto"/>
            </w:tcBorders>
            <w:vAlign w:val="center"/>
            <w:hideMark/>
          </w:tcPr>
          <w:p w14:paraId="081E9B05"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192DBD33"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0AC011B7"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HURTO</w:t>
            </w:r>
          </w:p>
        </w:tc>
        <w:tc>
          <w:tcPr>
            <w:tcW w:w="386" w:type="pct"/>
            <w:shd w:val="clear" w:color="auto" w:fill="auto"/>
            <w:noWrap/>
            <w:vAlign w:val="center"/>
            <w:hideMark/>
          </w:tcPr>
          <w:p w14:paraId="05745833"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464,98</w:t>
            </w:r>
          </w:p>
        </w:tc>
        <w:tc>
          <w:tcPr>
            <w:tcW w:w="68" w:type="pct"/>
            <w:shd w:val="clear" w:color="000000" w:fill="FFFFFF"/>
            <w:noWrap/>
            <w:hideMark/>
          </w:tcPr>
          <w:p w14:paraId="5B685147"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auto" w:fill="auto"/>
            <w:vAlign w:val="bottom"/>
          </w:tcPr>
          <w:p w14:paraId="29AB36F8" w14:textId="193708F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305,19</w:t>
            </w:r>
          </w:p>
        </w:tc>
        <w:tc>
          <w:tcPr>
            <w:tcW w:w="273" w:type="pct"/>
            <w:tcBorders>
              <w:top w:val="nil"/>
              <w:left w:val="nil"/>
              <w:bottom w:val="nil"/>
              <w:right w:val="nil"/>
            </w:tcBorders>
            <w:shd w:val="clear" w:color="auto" w:fill="auto"/>
            <w:vAlign w:val="bottom"/>
          </w:tcPr>
          <w:p w14:paraId="063B2B62" w14:textId="5000C20B"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338,85</w:t>
            </w:r>
          </w:p>
        </w:tc>
        <w:tc>
          <w:tcPr>
            <w:tcW w:w="709" w:type="pct"/>
            <w:tcBorders>
              <w:top w:val="nil"/>
              <w:left w:val="nil"/>
              <w:bottom w:val="nil"/>
              <w:right w:val="nil"/>
            </w:tcBorders>
            <w:shd w:val="clear" w:color="auto" w:fill="auto"/>
            <w:noWrap/>
            <w:vAlign w:val="center"/>
            <w:hideMark/>
          </w:tcPr>
          <w:p w14:paraId="4C02E5D6" w14:textId="3A165803"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420,77 a 464,98</w:t>
            </w:r>
          </w:p>
        </w:tc>
        <w:tc>
          <w:tcPr>
            <w:tcW w:w="639" w:type="pct"/>
            <w:tcBorders>
              <w:top w:val="nil"/>
              <w:left w:val="nil"/>
              <w:bottom w:val="nil"/>
              <w:right w:val="nil"/>
            </w:tcBorders>
            <w:shd w:val="clear" w:color="auto" w:fill="auto"/>
            <w:noWrap/>
            <w:vAlign w:val="bottom"/>
          </w:tcPr>
          <w:p w14:paraId="263822CD"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270,77 </w:t>
            </w:r>
          </w:p>
        </w:tc>
        <w:tc>
          <w:tcPr>
            <w:tcW w:w="760" w:type="pct"/>
            <w:tcBorders>
              <w:top w:val="nil"/>
              <w:left w:val="nil"/>
              <w:bottom w:val="nil"/>
              <w:right w:val="nil"/>
            </w:tcBorders>
            <w:shd w:val="clear" w:color="000000" w:fill="70AD47"/>
            <w:noWrap/>
            <w:vAlign w:val="center"/>
          </w:tcPr>
          <w:p w14:paraId="529BE711"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0AA9216D" w14:textId="77777777" w:rsidTr="00AE52E4">
        <w:trPr>
          <w:gridAfter w:val="2"/>
          <w:wAfter w:w="60" w:type="pct"/>
          <w:trHeight w:val="20"/>
          <w:jc w:val="center"/>
        </w:trPr>
        <w:tc>
          <w:tcPr>
            <w:tcW w:w="1071" w:type="pct"/>
            <w:vMerge/>
            <w:tcBorders>
              <w:bottom w:val="single" w:sz="4" w:space="0" w:color="auto"/>
            </w:tcBorders>
            <w:vAlign w:val="center"/>
            <w:hideMark/>
          </w:tcPr>
          <w:p w14:paraId="08273358"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62E96AF8"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2FB9882F"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w:t>
            </w:r>
          </w:p>
        </w:tc>
        <w:tc>
          <w:tcPr>
            <w:tcW w:w="386" w:type="pct"/>
            <w:shd w:val="clear" w:color="auto" w:fill="auto"/>
            <w:noWrap/>
            <w:vAlign w:val="center"/>
            <w:hideMark/>
          </w:tcPr>
          <w:p w14:paraId="7BAA2F9D"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410,90</w:t>
            </w:r>
          </w:p>
        </w:tc>
        <w:tc>
          <w:tcPr>
            <w:tcW w:w="68" w:type="pct"/>
            <w:shd w:val="clear" w:color="000000" w:fill="FFFFFF"/>
            <w:noWrap/>
            <w:hideMark/>
          </w:tcPr>
          <w:p w14:paraId="4AF1913F"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auto" w:fill="auto"/>
            <w:vAlign w:val="bottom"/>
          </w:tcPr>
          <w:p w14:paraId="6DD4BC03" w14:textId="6F5F6D74"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267,90</w:t>
            </w:r>
          </w:p>
        </w:tc>
        <w:tc>
          <w:tcPr>
            <w:tcW w:w="273" w:type="pct"/>
            <w:tcBorders>
              <w:top w:val="nil"/>
              <w:left w:val="nil"/>
              <w:bottom w:val="nil"/>
              <w:right w:val="nil"/>
            </w:tcBorders>
            <w:shd w:val="clear" w:color="auto" w:fill="auto"/>
            <w:vAlign w:val="bottom"/>
          </w:tcPr>
          <w:p w14:paraId="1FF4762D" w14:textId="48210021"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286,35</w:t>
            </w:r>
          </w:p>
        </w:tc>
        <w:tc>
          <w:tcPr>
            <w:tcW w:w="709" w:type="pct"/>
            <w:tcBorders>
              <w:top w:val="nil"/>
              <w:left w:val="nil"/>
              <w:bottom w:val="nil"/>
              <w:right w:val="nil"/>
            </w:tcBorders>
            <w:shd w:val="clear" w:color="auto" w:fill="auto"/>
            <w:noWrap/>
            <w:vAlign w:val="center"/>
            <w:hideMark/>
          </w:tcPr>
          <w:p w14:paraId="305DF76D" w14:textId="56B2AF1B"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410,9 a 455,8</w:t>
            </w:r>
          </w:p>
        </w:tc>
        <w:tc>
          <w:tcPr>
            <w:tcW w:w="639" w:type="pct"/>
            <w:tcBorders>
              <w:top w:val="nil"/>
              <w:left w:val="nil"/>
              <w:bottom w:val="nil"/>
              <w:right w:val="nil"/>
            </w:tcBorders>
            <w:shd w:val="clear" w:color="auto" w:fill="auto"/>
            <w:noWrap/>
            <w:vAlign w:val="bottom"/>
          </w:tcPr>
          <w:p w14:paraId="1FE9ECC3"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196,85 </w:t>
            </w:r>
          </w:p>
        </w:tc>
        <w:tc>
          <w:tcPr>
            <w:tcW w:w="760" w:type="pct"/>
            <w:tcBorders>
              <w:top w:val="nil"/>
              <w:left w:val="nil"/>
              <w:bottom w:val="nil"/>
              <w:right w:val="nil"/>
            </w:tcBorders>
            <w:shd w:val="clear" w:color="000000" w:fill="70AD47"/>
            <w:noWrap/>
            <w:vAlign w:val="center"/>
          </w:tcPr>
          <w:p w14:paraId="6C2CB859"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ED6AE3" w:rsidRPr="0073029B" w14:paraId="3ABD9E60" w14:textId="77777777" w:rsidTr="00AE52E4">
        <w:trPr>
          <w:gridAfter w:val="2"/>
          <w:wAfter w:w="60" w:type="pct"/>
          <w:trHeight w:val="20"/>
          <w:jc w:val="center"/>
        </w:trPr>
        <w:tc>
          <w:tcPr>
            <w:tcW w:w="1071" w:type="pct"/>
            <w:vMerge/>
            <w:tcBorders>
              <w:bottom w:val="single" w:sz="4" w:space="0" w:color="auto"/>
            </w:tcBorders>
            <w:vAlign w:val="center"/>
            <w:hideMark/>
          </w:tcPr>
          <w:p w14:paraId="15740614"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1F19D894"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3D9658CB"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 DE VEHICULO</w:t>
            </w:r>
          </w:p>
        </w:tc>
        <w:tc>
          <w:tcPr>
            <w:tcW w:w="386" w:type="pct"/>
            <w:shd w:val="clear" w:color="auto" w:fill="auto"/>
            <w:noWrap/>
            <w:vAlign w:val="center"/>
            <w:hideMark/>
          </w:tcPr>
          <w:p w14:paraId="4BD931F9"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47,01</w:t>
            </w:r>
          </w:p>
        </w:tc>
        <w:tc>
          <w:tcPr>
            <w:tcW w:w="68" w:type="pct"/>
            <w:shd w:val="clear" w:color="000000" w:fill="FFFFFF"/>
            <w:noWrap/>
            <w:hideMark/>
          </w:tcPr>
          <w:p w14:paraId="665EE935"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000000" w:fill="FF0000"/>
            <w:vAlign w:val="bottom"/>
          </w:tcPr>
          <w:p w14:paraId="0B39D9AB" w14:textId="3AF6DBCC"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86,02</w:t>
            </w:r>
          </w:p>
        </w:tc>
        <w:tc>
          <w:tcPr>
            <w:tcW w:w="273" w:type="pct"/>
            <w:tcBorders>
              <w:top w:val="nil"/>
              <w:left w:val="nil"/>
              <w:bottom w:val="nil"/>
              <w:right w:val="nil"/>
            </w:tcBorders>
            <w:shd w:val="clear" w:color="000000" w:fill="FF0000"/>
            <w:vAlign w:val="bottom"/>
          </w:tcPr>
          <w:p w14:paraId="3079E382" w14:textId="350ECD8D"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60,19</w:t>
            </w:r>
          </w:p>
        </w:tc>
        <w:tc>
          <w:tcPr>
            <w:tcW w:w="709" w:type="pct"/>
            <w:tcBorders>
              <w:top w:val="nil"/>
              <w:left w:val="nil"/>
              <w:right w:val="nil"/>
            </w:tcBorders>
            <w:shd w:val="clear" w:color="auto" w:fill="auto"/>
            <w:noWrap/>
            <w:vAlign w:val="center"/>
            <w:hideMark/>
          </w:tcPr>
          <w:p w14:paraId="62258898" w14:textId="4030F02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47,01 a 50,42</w:t>
            </w:r>
          </w:p>
        </w:tc>
        <w:tc>
          <w:tcPr>
            <w:tcW w:w="639" w:type="pct"/>
            <w:tcBorders>
              <w:top w:val="nil"/>
              <w:left w:val="nil"/>
              <w:right w:val="nil"/>
            </w:tcBorders>
            <w:shd w:val="clear" w:color="000000" w:fill="FF0000"/>
            <w:noWrap/>
            <w:vAlign w:val="bottom"/>
          </w:tcPr>
          <w:p w14:paraId="54F6101A" w14:textId="77777777" w:rsidR="003D5273" w:rsidRPr="00780BF1" w:rsidRDefault="003D5273" w:rsidP="003D5273">
            <w:pPr>
              <w:spacing w:after="0" w:line="240" w:lineRule="auto"/>
              <w:jc w:val="right"/>
              <w:rPr>
                <w:rFonts w:cs="Tahoma"/>
                <w:b/>
                <w:color w:val="FFFFFF" w:themeColor="background1"/>
                <w:sz w:val="18"/>
                <w:szCs w:val="18"/>
              </w:rPr>
            </w:pPr>
            <w:r w:rsidRPr="00780BF1">
              <w:rPr>
                <w:rFonts w:cs="Tahoma"/>
                <w:sz w:val="18"/>
                <w:szCs w:val="18"/>
              </w:rPr>
              <w:t xml:space="preserve">                     </w:t>
            </w:r>
            <w:r w:rsidRPr="001072FC">
              <w:rPr>
                <w:rFonts w:cs="Tahoma"/>
                <w:color w:val="FFFFFF" w:themeColor="background1"/>
                <w:sz w:val="18"/>
                <w:szCs w:val="18"/>
              </w:rPr>
              <w:t xml:space="preserve">60,90 </w:t>
            </w:r>
          </w:p>
        </w:tc>
        <w:tc>
          <w:tcPr>
            <w:tcW w:w="760" w:type="pct"/>
            <w:tcBorders>
              <w:top w:val="nil"/>
              <w:left w:val="nil"/>
              <w:bottom w:val="nil"/>
              <w:right w:val="nil"/>
            </w:tcBorders>
            <w:shd w:val="clear" w:color="000000" w:fill="FF0000"/>
            <w:noWrap/>
            <w:vAlign w:val="center"/>
          </w:tcPr>
          <w:p w14:paraId="7ED489F6" w14:textId="77777777" w:rsidR="003D5273" w:rsidRPr="0073029B" w:rsidRDefault="003D5273" w:rsidP="003D5273">
            <w:pPr>
              <w:spacing w:after="0" w:line="240" w:lineRule="auto"/>
              <w:jc w:val="center"/>
              <w:rPr>
                <w:rFonts w:cs="Tahoma"/>
                <w:b/>
                <w:color w:val="FFFFFF" w:themeColor="background1"/>
                <w:sz w:val="18"/>
                <w:szCs w:val="18"/>
              </w:rPr>
            </w:pPr>
            <w:r w:rsidRPr="0073029B">
              <w:rPr>
                <w:rFonts w:cs="Tahoma"/>
                <w:b/>
                <w:bCs/>
                <w:color w:val="FFFFFF"/>
                <w:sz w:val="18"/>
                <w:szCs w:val="18"/>
              </w:rPr>
              <w:t>Cumplimiento bajo</w:t>
            </w:r>
          </w:p>
        </w:tc>
      </w:tr>
      <w:tr w:rsidR="00522D1B" w:rsidRPr="0073029B" w14:paraId="69B1D41E" w14:textId="77777777" w:rsidTr="00AE52E4">
        <w:trPr>
          <w:gridAfter w:val="2"/>
          <w:wAfter w:w="60" w:type="pct"/>
          <w:trHeight w:val="20"/>
          <w:jc w:val="center"/>
        </w:trPr>
        <w:tc>
          <w:tcPr>
            <w:tcW w:w="1071" w:type="pct"/>
            <w:vMerge/>
            <w:tcBorders>
              <w:bottom w:val="single" w:sz="4" w:space="0" w:color="auto"/>
            </w:tcBorders>
            <w:vAlign w:val="center"/>
            <w:hideMark/>
          </w:tcPr>
          <w:p w14:paraId="17719408"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7B48B17F"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bottom w:val="single" w:sz="4" w:space="0" w:color="auto"/>
            </w:tcBorders>
            <w:shd w:val="clear" w:color="auto" w:fill="auto"/>
            <w:noWrap/>
            <w:vAlign w:val="center"/>
            <w:hideMark/>
          </w:tcPr>
          <w:p w14:paraId="2ECE56FD"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TACHA DE VEHICULO</w:t>
            </w:r>
          </w:p>
        </w:tc>
        <w:tc>
          <w:tcPr>
            <w:tcW w:w="386" w:type="pct"/>
            <w:tcBorders>
              <w:bottom w:val="single" w:sz="4" w:space="0" w:color="auto"/>
            </w:tcBorders>
            <w:shd w:val="clear" w:color="auto" w:fill="auto"/>
            <w:noWrap/>
            <w:vAlign w:val="center"/>
            <w:hideMark/>
          </w:tcPr>
          <w:p w14:paraId="3CEBF982"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57,34</w:t>
            </w:r>
          </w:p>
        </w:tc>
        <w:tc>
          <w:tcPr>
            <w:tcW w:w="68" w:type="pct"/>
            <w:shd w:val="clear" w:color="000000" w:fill="FFFFFF"/>
            <w:noWrap/>
            <w:hideMark/>
          </w:tcPr>
          <w:p w14:paraId="43CFC2A6"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single" w:sz="4" w:space="0" w:color="auto"/>
              <w:right w:val="nil"/>
            </w:tcBorders>
            <w:shd w:val="clear" w:color="auto" w:fill="auto"/>
            <w:vAlign w:val="bottom"/>
          </w:tcPr>
          <w:p w14:paraId="6D135EC0" w14:textId="2B5B073D"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62,32</w:t>
            </w:r>
          </w:p>
        </w:tc>
        <w:tc>
          <w:tcPr>
            <w:tcW w:w="273" w:type="pct"/>
            <w:tcBorders>
              <w:top w:val="nil"/>
              <w:left w:val="nil"/>
              <w:bottom w:val="single" w:sz="4" w:space="0" w:color="auto"/>
              <w:right w:val="nil"/>
            </w:tcBorders>
            <w:shd w:val="clear" w:color="auto" w:fill="auto"/>
            <w:vAlign w:val="bottom"/>
          </w:tcPr>
          <w:p w14:paraId="339573B6" w14:textId="13F072B7"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37,38</w:t>
            </w:r>
          </w:p>
        </w:tc>
        <w:tc>
          <w:tcPr>
            <w:tcW w:w="709" w:type="pct"/>
            <w:tcBorders>
              <w:top w:val="nil"/>
              <w:left w:val="nil"/>
              <w:bottom w:val="single" w:sz="4" w:space="0" w:color="auto"/>
              <w:right w:val="nil"/>
            </w:tcBorders>
            <w:shd w:val="clear" w:color="auto" w:fill="auto"/>
            <w:noWrap/>
            <w:vAlign w:val="center"/>
            <w:hideMark/>
          </w:tcPr>
          <w:p w14:paraId="146B2CA7" w14:textId="22BC79B2"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57,34 a 72,67</w:t>
            </w:r>
          </w:p>
        </w:tc>
        <w:tc>
          <w:tcPr>
            <w:tcW w:w="639" w:type="pct"/>
            <w:tcBorders>
              <w:top w:val="nil"/>
              <w:left w:val="nil"/>
              <w:bottom w:val="single" w:sz="4" w:space="0" w:color="auto"/>
              <w:right w:val="nil"/>
            </w:tcBorders>
            <w:shd w:val="clear" w:color="auto" w:fill="auto"/>
            <w:noWrap/>
            <w:vAlign w:val="bottom"/>
          </w:tcPr>
          <w:p w14:paraId="6E9CCE0B"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31,16 </w:t>
            </w:r>
          </w:p>
        </w:tc>
        <w:tc>
          <w:tcPr>
            <w:tcW w:w="760" w:type="pct"/>
            <w:tcBorders>
              <w:top w:val="nil"/>
              <w:left w:val="nil"/>
              <w:bottom w:val="single" w:sz="4" w:space="0" w:color="auto"/>
              <w:right w:val="nil"/>
            </w:tcBorders>
            <w:shd w:val="clear" w:color="000000" w:fill="70AD47"/>
            <w:noWrap/>
            <w:vAlign w:val="center"/>
          </w:tcPr>
          <w:p w14:paraId="109971DD"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ED6AE3" w:rsidRPr="0073029B" w14:paraId="22BDFC33" w14:textId="77777777" w:rsidTr="00AE52E4">
        <w:trPr>
          <w:gridAfter w:val="2"/>
          <w:wAfter w:w="60" w:type="pct"/>
          <w:trHeight w:val="20"/>
          <w:jc w:val="center"/>
        </w:trPr>
        <w:tc>
          <w:tcPr>
            <w:tcW w:w="1071" w:type="pct"/>
            <w:vMerge/>
            <w:tcBorders>
              <w:bottom w:val="single" w:sz="4" w:space="0" w:color="auto"/>
            </w:tcBorders>
            <w:vAlign w:val="center"/>
            <w:hideMark/>
          </w:tcPr>
          <w:p w14:paraId="662382E0"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7B60AE80"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top w:val="single" w:sz="4" w:space="0" w:color="auto"/>
            </w:tcBorders>
            <w:shd w:val="clear" w:color="000000" w:fill="C6E0B4"/>
            <w:noWrap/>
            <w:vAlign w:val="center"/>
            <w:hideMark/>
          </w:tcPr>
          <w:p w14:paraId="4713709E"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Central</w:t>
            </w:r>
          </w:p>
        </w:tc>
        <w:tc>
          <w:tcPr>
            <w:tcW w:w="386" w:type="pct"/>
            <w:tcBorders>
              <w:top w:val="single" w:sz="4" w:space="0" w:color="auto"/>
            </w:tcBorders>
            <w:shd w:val="clear" w:color="000000" w:fill="C6E0B4"/>
            <w:noWrap/>
            <w:vAlign w:val="center"/>
            <w:hideMark/>
          </w:tcPr>
          <w:p w14:paraId="4FD42AA6"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1168,27</w:t>
            </w:r>
          </w:p>
        </w:tc>
        <w:tc>
          <w:tcPr>
            <w:tcW w:w="68" w:type="pct"/>
            <w:shd w:val="clear" w:color="000000" w:fill="FFFFFF"/>
            <w:noWrap/>
            <w:hideMark/>
          </w:tcPr>
          <w:p w14:paraId="19750690"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single" w:sz="4" w:space="0" w:color="auto"/>
              <w:left w:val="nil"/>
              <w:bottom w:val="nil"/>
              <w:right w:val="nil"/>
            </w:tcBorders>
            <w:shd w:val="clear" w:color="000000" w:fill="C6E0B4"/>
            <w:vAlign w:val="bottom"/>
          </w:tcPr>
          <w:p w14:paraId="6DD0661F" w14:textId="5E3178BD"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910,69</w:t>
            </w:r>
          </w:p>
        </w:tc>
        <w:tc>
          <w:tcPr>
            <w:tcW w:w="273" w:type="pct"/>
            <w:tcBorders>
              <w:top w:val="single" w:sz="4" w:space="0" w:color="auto"/>
              <w:left w:val="nil"/>
              <w:bottom w:val="nil"/>
              <w:right w:val="nil"/>
            </w:tcBorders>
            <w:shd w:val="clear" w:color="000000" w:fill="C6E0B4"/>
            <w:vAlign w:val="bottom"/>
          </w:tcPr>
          <w:p w14:paraId="79578BA3" w14:textId="0A6D9DD1"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832,87</w:t>
            </w:r>
          </w:p>
        </w:tc>
        <w:tc>
          <w:tcPr>
            <w:tcW w:w="709" w:type="pct"/>
            <w:tcBorders>
              <w:top w:val="single" w:sz="4" w:space="0" w:color="auto"/>
              <w:left w:val="nil"/>
              <w:bottom w:val="nil"/>
              <w:right w:val="nil"/>
            </w:tcBorders>
            <w:shd w:val="clear" w:color="000000" w:fill="C6E0B4"/>
            <w:noWrap/>
            <w:vAlign w:val="center"/>
            <w:hideMark/>
          </w:tcPr>
          <w:p w14:paraId="39897723" w14:textId="20E7D809"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1168,27 a 1243,69</w:t>
            </w:r>
          </w:p>
        </w:tc>
        <w:tc>
          <w:tcPr>
            <w:tcW w:w="639" w:type="pct"/>
            <w:tcBorders>
              <w:top w:val="single" w:sz="4" w:space="0" w:color="auto"/>
              <w:left w:val="nil"/>
              <w:bottom w:val="nil"/>
              <w:right w:val="nil"/>
            </w:tcBorders>
            <w:shd w:val="clear" w:color="000000" w:fill="C6E0B4"/>
            <w:noWrap/>
            <w:vAlign w:val="bottom"/>
          </w:tcPr>
          <w:p w14:paraId="69AC55B9"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785,55 </w:t>
            </w:r>
          </w:p>
        </w:tc>
        <w:tc>
          <w:tcPr>
            <w:tcW w:w="760" w:type="pct"/>
            <w:tcBorders>
              <w:top w:val="single" w:sz="4" w:space="0" w:color="auto"/>
              <w:left w:val="nil"/>
              <w:bottom w:val="nil"/>
              <w:right w:val="nil"/>
            </w:tcBorders>
            <w:shd w:val="clear" w:color="000000" w:fill="70AD47"/>
            <w:noWrap/>
            <w:vAlign w:val="center"/>
          </w:tcPr>
          <w:p w14:paraId="13619C83" w14:textId="77777777" w:rsidR="003D5273" w:rsidRPr="0073029B" w:rsidRDefault="003D5273" w:rsidP="003D5273">
            <w:pPr>
              <w:spacing w:after="0" w:line="240" w:lineRule="auto"/>
              <w:jc w:val="center"/>
              <w:rPr>
                <w:rFonts w:cs="Tahoma"/>
                <w:b/>
                <w:bCs/>
                <w:color w:val="FFFFFF" w:themeColor="background1"/>
                <w:sz w:val="18"/>
                <w:szCs w:val="18"/>
              </w:rPr>
            </w:pPr>
            <w:r w:rsidRPr="0073029B">
              <w:rPr>
                <w:rFonts w:cs="Tahoma"/>
                <w:b/>
                <w:bCs/>
                <w:color w:val="FFFFFF"/>
                <w:sz w:val="18"/>
                <w:szCs w:val="18"/>
              </w:rPr>
              <w:t>Cumplimiento alto</w:t>
            </w:r>
          </w:p>
        </w:tc>
      </w:tr>
      <w:tr w:rsidR="00522D1B" w:rsidRPr="0073029B" w14:paraId="7C330712" w14:textId="77777777" w:rsidTr="00AE52E4">
        <w:trPr>
          <w:gridAfter w:val="2"/>
          <w:wAfter w:w="60" w:type="pct"/>
          <w:trHeight w:val="20"/>
          <w:jc w:val="center"/>
        </w:trPr>
        <w:tc>
          <w:tcPr>
            <w:tcW w:w="1071" w:type="pct"/>
            <w:vMerge/>
            <w:tcBorders>
              <w:bottom w:val="single" w:sz="4" w:space="0" w:color="auto"/>
            </w:tcBorders>
            <w:vAlign w:val="center"/>
            <w:hideMark/>
          </w:tcPr>
          <w:p w14:paraId="6D80E340"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049B0D55"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4B5B2BC1"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ASALTO</w:t>
            </w:r>
          </w:p>
        </w:tc>
        <w:tc>
          <w:tcPr>
            <w:tcW w:w="386" w:type="pct"/>
            <w:shd w:val="clear" w:color="auto" w:fill="auto"/>
            <w:noWrap/>
            <w:vAlign w:val="center"/>
            <w:hideMark/>
          </w:tcPr>
          <w:p w14:paraId="03AA5599"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435,13</w:t>
            </w:r>
          </w:p>
        </w:tc>
        <w:tc>
          <w:tcPr>
            <w:tcW w:w="68" w:type="pct"/>
            <w:shd w:val="clear" w:color="000000" w:fill="FFFFFF"/>
            <w:noWrap/>
            <w:hideMark/>
          </w:tcPr>
          <w:p w14:paraId="38A270D3"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2981AA9A" w14:textId="2AF1D2BD"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244,00</w:t>
            </w:r>
          </w:p>
        </w:tc>
        <w:tc>
          <w:tcPr>
            <w:tcW w:w="273" w:type="pct"/>
            <w:tcBorders>
              <w:top w:val="nil"/>
              <w:left w:val="nil"/>
              <w:bottom w:val="nil"/>
              <w:right w:val="nil"/>
            </w:tcBorders>
            <w:shd w:val="clear" w:color="auto" w:fill="auto"/>
            <w:vAlign w:val="bottom"/>
          </w:tcPr>
          <w:p w14:paraId="04EAC15D" w14:textId="2A4C0B68"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252,53</w:t>
            </w:r>
          </w:p>
        </w:tc>
        <w:tc>
          <w:tcPr>
            <w:tcW w:w="709" w:type="pct"/>
            <w:tcBorders>
              <w:top w:val="nil"/>
              <w:left w:val="nil"/>
              <w:bottom w:val="nil"/>
              <w:right w:val="nil"/>
            </w:tcBorders>
            <w:shd w:val="clear" w:color="auto" w:fill="auto"/>
            <w:noWrap/>
            <w:vAlign w:val="center"/>
            <w:hideMark/>
          </w:tcPr>
          <w:p w14:paraId="4ACF28DE" w14:textId="21779DBB"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435,13 a 497,38</w:t>
            </w:r>
          </w:p>
        </w:tc>
        <w:tc>
          <w:tcPr>
            <w:tcW w:w="639" w:type="pct"/>
            <w:tcBorders>
              <w:top w:val="nil"/>
              <w:left w:val="nil"/>
              <w:bottom w:val="nil"/>
              <w:right w:val="nil"/>
            </w:tcBorders>
            <w:shd w:val="clear" w:color="auto" w:fill="auto"/>
            <w:noWrap/>
            <w:vAlign w:val="bottom"/>
          </w:tcPr>
          <w:p w14:paraId="085F9ACD"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213,48 </w:t>
            </w:r>
          </w:p>
        </w:tc>
        <w:tc>
          <w:tcPr>
            <w:tcW w:w="760" w:type="pct"/>
            <w:tcBorders>
              <w:top w:val="nil"/>
              <w:left w:val="nil"/>
              <w:bottom w:val="nil"/>
              <w:right w:val="nil"/>
            </w:tcBorders>
            <w:shd w:val="clear" w:color="000000" w:fill="70AD47"/>
            <w:noWrap/>
            <w:vAlign w:val="center"/>
          </w:tcPr>
          <w:p w14:paraId="56C26F41"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4E26CCEC" w14:textId="77777777" w:rsidTr="00AE52E4">
        <w:trPr>
          <w:gridAfter w:val="2"/>
          <w:wAfter w:w="60" w:type="pct"/>
          <w:trHeight w:val="20"/>
          <w:jc w:val="center"/>
        </w:trPr>
        <w:tc>
          <w:tcPr>
            <w:tcW w:w="1071" w:type="pct"/>
            <w:vMerge/>
            <w:tcBorders>
              <w:bottom w:val="single" w:sz="4" w:space="0" w:color="auto"/>
            </w:tcBorders>
            <w:vAlign w:val="center"/>
            <w:hideMark/>
          </w:tcPr>
          <w:p w14:paraId="4CA34469"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2E844830"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23D21D53"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HOMICIDIO</w:t>
            </w:r>
          </w:p>
        </w:tc>
        <w:tc>
          <w:tcPr>
            <w:tcW w:w="386" w:type="pct"/>
            <w:shd w:val="clear" w:color="auto" w:fill="auto"/>
            <w:noWrap/>
            <w:vAlign w:val="center"/>
            <w:hideMark/>
          </w:tcPr>
          <w:p w14:paraId="4EBBC25B"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9,25</w:t>
            </w:r>
          </w:p>
        </w:tc>
        <w:tc>
          <w:tcPr>
            <w:tcW w:w="68" w:type="pct"/>
            <w:shd w:val="clear" w:color="000000" w:fill="FFFFFF"/>
            <w:noWrap/>
            <w:hideMark/>
          </w:tcPr>
          <w:p w14:paraId="141C08A9"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000000" w:fill="FF0000"/>
            <w:vAlign w:val="bottom"/>
          </w:tcPr>
          <w:p w14:paraId="4CE60538" w14:textId="1A2E5B9A"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15,95</w:t>
            </w:r>
          </w:p>
        </w:tc>
        <w:tc>
          <w:tcPr>
            <w:tcW w:w="273" w:type="pct"/>
            <w:tcBorders>
              <w:top w:val="nil"/>
              <w:left w:val="nil"/>
              <w:bottom w:val="nil"/>
              <w:right w:val="nil"/>
            </w:tcBorders>
            <w:shd w:val="clear" w:color="000000" w:fill="FF0000"/>
            <w:vAlign w:val="bottom"/>
          </w:tcPr>
          <w:p w14:paraId="15097E42" w14:textId="425E5C43"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12,71</w:t>
            </w:r>
          </w:p>
        </w:tc>
        <w:tc>
          <w:tcPr>
            <w:tcW w:w="709" w:type="pct"/>
            <w:tcBorders>
              <w:top w:val="nil"/>
              <w:left w:val="nil"/>
              <w:bottom w:val="nil"/>
              <w:right w:val="nil"/>
            </w:tcBorders>
            <w:shd w:val="clear" w:color="auto" w:fill="auto"/>
            <w:noWrap/>
            <w:vAlign w:val="center"/>
            <w:hideMark/>
          </w:tcPr>
          <w:p w14:paraId="1284E894" w14:textId="5103ACD0"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8,91 a 9,25</w:t>
            </w:r>
          </w:p>
        </w:tc>
        <w:tc>
          <w:tcPr>
            <w:tcW w:w="639" w:type="pct"/>
            <w:tcBorders>
              <w:top w:val="nil"/>
              <w:left w:val="nil"/>
              <w:bottom w:val="nil"/>
              <w:right w:val="nil"/>
            </w:tcBorders>
            <w:shd w:val="clear" w:color="000000" w:fill="FF0000"/>
            <w:noWrap/>
            <w:vAlign w:val="bottom"/>
          </w:tcPr>
          <w:p w14:paraId="0FDB3D8D"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w:t>
            </w:r>
            <w:r w:rsidRPr="001072FC">
              <w:rPr>
                <w:rFonts w:cs="Tahoma"/>
                <w:color w:val="FFFFFF" w:themeColor="background1"/>
                <w:sz w:val="18"/>
                <w:szCs w:val="18"/>
              </w:rPr>
              <w:t xml:space="preserve">13,37 </w:t>
            </w:r>
          </w:p>
        </w:tc>
        <w:tc>
          <w:tcPr>
            <w:tcW w:w="760" w:type="pct"/>
            <w:tcBorders>
              <w:top w:val="nil"/>
              <w:left w:val="nil"/>
              <w:bottom w:val="nil"/>
              <w:right w:val="nil"/>
            </w:tcBorders>
            <w:shd w:val="clear" w:color="000000" w:fill="FF0000"/>
            <w:noWrap/>
            <w:vAlign w:val="center"/>
          </w:tcPr>
          <w:p w14:paraId="68D4FE25"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bajo</w:t>
            </w:r>
          </w:p>
        </w:tc>
      </w:tr>
      <w:tr w:rsidR="00522D1B" w:rsidRPr="0073029B" w14:paraId="0B4F382A" w14:textId="77777777" w:rsidTr="00AE52E4">
        <w:trPr>
          <w:gridAfter w:val="2"/>
          <w:wAfter w:w="60" w:type="pct"/>
          <w:trHeight w:val="20"/>
          <w:jc w:val="center"/>
        </w:trPr>
        <w:tc>
          <w:tcPr>
            <w:tcW w:w="1071" w:type="pct"/>
            <w:vMerge/>
            <w:tcBorders>
              <w:bottom w:val="single" w:sz="4" w:space="0" w:color="auto"/>
            </w:tcBorders>
            <w:vAlign w:val="center"/>
            <w:hideMark/>
          </w:tcPr>
          <w:p w14:paraId="419060C3"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5ADCE950"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67EF7F0C"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HURTO</w:t>
            </w:r>
          </w:p>
        </w:tc>
        <w:tc>
          <w:tcPr>
            <w:tcW w:w="386" w:type="pct"/>
            <w:shd w:val="clear" w:color="auto" w:fill="auto"/>
            <w:noWrap/>
            <w:vAlign w:val="center"/>
            <w:hideMark/>
          </w:tcPr>
          <w:p w14:paraId="69E9D928"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347,98</w:t>
            </w:r>
          </w:p>
        </w:tc>
        <w:tc>
          <w:tcPr>
            <w:tcW w:w="68" w:type="pct"/>
            <w:shd w:val="clear" w:color="000000" w:fill="FFFFFF"/>
            <w:noWrap/>
            <w:hideMark/>
          </w:tcPr>
          <w:p w14:paraId="4B3CBFA7"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0855E258" w14:textId="7F7CEC99"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305,33</w:t>
            </w:r>
          </w:p>
        </w:tc>
        <w:tc>
          <w:tcPr>
            <w:tcW w:w="273" w:type="pct"/>
            <w:tcBorders>
              <w:top w:val="nil"/>
              <w:left w:val="nil"/>
              <w:bottom w:val="nil"/>
              <w:right w:val="nil"/>
            </w:tcBorders>
            <w:shd w:val="clear" w:color="auto" w:fill="auto"/>
            <w:vAlign w:val="bottom"/>
          </w:tcPr>
          <w:p w14:paraId="12240F4B" w14:textId="39065B1F"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274,63</w:t>
            </w:r>
          </w:p>
        </w:tc>
        <w:tc>
          <w:tcPr>
            <w:tcW w:w="709" w:type="pct"/>
            <w:tcBorders>
              <w:top w:val="nil"/>
              <w:left w:val="nil"/>
              <w:bottom w:val="nil"/>
              <w:right w:val="nil"/>
            </w:tcBorders>
            <w:shd w:val="clear" w:color="auto" w:fill="auto"/>
            <w:noWrap/>
            <w:vAlign w:val="center"/>
            <w:hideMark/>
          </w:tcPr>
          <w:p w14:paraId="749147A0" w14:textId="1DD51219"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333,29 a 347,98</w:t>
            </w:r>
          </w:p>
        </w:tc>
        <w:tc>
          <w:tcPr>
            <w:tcW w:w="639" w:type="pct"/>
            <w:tcBorders>
              <w:top w:val="nil"/>
              <w:left w:val="nil"/>
              <w:bottom w:val="nil"/>
              <w:right w:val="nil"/>
            </w:tcBorders>
            <w:shd w:val="clear" w:color="auto" w:fill="auto"/>
            <w:noWrap/>
            <w:vAlign w:val="bottom"/>
          </w:tcPr>
          <w:p w14:paraId="0475BCCA"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256,02 </w:t>
            </w:r>
          </w:p>
        </w:tc>
        <w:tc>
          <w:tcPr>
            <w:tcW w:w="760" w:type="pct"/>
            <w:tcBorders>
              <w:top w:val="nil"/>
              <w:left w:val="nil"/>
              <w:bottom w:val="nil"/>
              <w:right w:val="nil"/>
            </w:tcBorders>
            <w:shd w:val="clear" w:color="000000" w:fill="70AD47"/>
            <w:noWrap/>
            <w:vAlign w:val="center"/>
          </w:tcPr>
          <w:p w14:paraId="33D84802"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3D50BA8B" w14:textId="77777777" w:rsidTr="00AE52E4">
        <w:trPr>
          <w:gridAfter w:val="2"/>
          <w:wAfter w:w="60" w:type="pct"/>
          <w:trHeight w:val="20"/>
          <w:jc w:val="center"/>
        </w:trPr>
        <w:tc>
          <w:tcPr>
            <w:tcW w:w="1071" w:type="pct"/>
            <w:vMerge/>
            <w:tcBorders>
              <w:bottom w:val="single" w:sz="4" w:space="0" w:color="auto"/>
            </w:tcBorders>
            <w:vAlign w:val="center"/>
            <w:hideMark/>
          </w:tcPr>
          <w:p w14:paraId="792A6903"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6B0B9C69"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377C5FF5"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w:t>
            </w:r>
          </w:p>
        </w:tc>
        <w:tc>
          <w:tcPr>
            <w:tcW w:w="386" w:type="pct"/>
            <w:shd w:val="clear" w:color="auto" w:fill="auto"/>
            <w:noWrap/>
            <w:vAlign w:val="center"/>
            <w:hideMark/>
          </w:tcPr>
          <w:p w14:paraId="3979FE90"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194,73</w:t>
            </w:r>
          </w:p>
        </w:tc>
        <w:tc>
          <w:tcPr>
            <w:tcW w:w="68" w:type="pct"/>
            <w:shd w:val="clear" w:color="000000" w:fill="FFFFFF"/>
            <w:noWrap/>
            <w:hideMark/>
          </w:tcPr>
          <w:p w14:paraId="1827BBDF"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61915576" w14:textId="768D989F"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187,48</w:t>
            </w:r>
          </w:p>
        </w:tc>
        <w:tc>
          <w:tcPr>
            <w:tcW w:w="273" w:type="pct"/>
            <w:tcBorders>
              <w:top w:val="nil"/>
              <w:left w:val="nil"/>
              <w:bottom w:val="nil"/>
              <w:right w:val="nil"/>
            </w:tcBorders>
            <w:shd w:val="clear" w:color="auto" w:fill="auto"/>
            <w:vAlign w:val="bottom"/>
          </w:tcPr>
          <w:p w14:paraId="24C55AB2" w14:textId="43E27380"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120,58</w:t>
            </w:r>
          </w:p>
        </w:tc>
        <w:tc>
          <w:tcPr>
            <w:tcW w:w="709" w:type="pct"/>
            <w:tcBorders>
              <w:top w:val="nil"/>
              <w:left w:val="nil"/>
              <w:bottom w:val="nil"/>
              <w:right w:val="nil"/>
            </w:tcBorders>
            <w:shd w:val="clear" w:color="auto" w:fill="auto"/>
            <w:noWrap/>
            <w:vAlign w:val="center"/>
            <w:hideMark/>
          </w:tcPr>
          <w:p w14:paraId="475F2085" w14:textId="64943515"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194,73 a 199,36</w:t>
            </w:r>
          </w:p>
        </w:tc>
        <w:tc>
          <w:tcPr>
            <w:tcW w:w="639" w:type="pct"/>
            <w:tcBorders>
              <w:top w:val="nil"/>
              <w:left w:val="nil"/>
              <w:bottom w:val="nil"/>
              <w:right w:val="nil"/>
            </w:tcBorders>
            <w:shd w:val="clear" w:color="auto" w:fill="auto"/>
            <w:noWrap/>
            <w:vAlign w:val="bottom"/>
          </w:tcPr>
          <w:p w14:paraId="276F653C"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108,75 </w:t>
            </w:r>
          </w:p>
        </w:tc>
        <w:tc>
          <w:tcPr>
            <w:tcW w:w="760" w:type="pct"/>
            <w:tcBorders>
              <w:top w:val="nil"/>
              <w:left w:val="nil"/>
              <w:bottom w:val="nil"/>
              <w:right w:val="nil"/>
            </w:tcBorders>
            <w:shd w:val="clear" w:color="000000" w:fill="70AD47"/>
            <w:noWrap/>
            <w:vAlign w:val="center"/>
          </w:tcPr>
          <w:p w14:paraId="778B7D3E"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369D1BA1" w14:textId="77777777" w:rsidTr="00AE52E4">
        <w:trPr>
          <w:gridAfter w:val="2"/>
          <w:wAfter w:w="60" w:type="pct"/>
          <w:trHeight w:val="64"/>
          <w:jc w:val="center"/>
        </w:trPr>
        <w:tc>
          <w:tcPr>
            <w:tcW w:w="1071" w:type="pct"/>
            <w:vMerge/>
            <w:tcBorders>
              <w:bottom w:val="single" w:sz="4" w:space="0" w:color="auto"/>
            </w:tcBorders>
            <w:vAlign w:val="center"/>
            <w:hideMark/>
          </w:tcPr>
          <w:p w14:paraId="5D114C9F"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7BB55FB4"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78256477"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 DE VEHICULO</w:t>
            </w:r>
          </w:p>
        </w:tc>
        <w:tc>
          <w:tcPr>
            <w:tcW w:w="386" w:type="pct"/>
            <w:shd w:val="clear" w:color="auto" w:fill="auto"/>
            <w:noWrap/>
            <w:vAlign w:val="center"/>
            <w:hideMark/>
          </w:tcPr>
          <w:p w14:paraId="4D8C0E9C"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92,99</w:t>
            </w:r>
          </w:p>
        </w:tc>
        <w:tc>
          <w:tcPr>
            <w:tcW w:w="68" w:type="pct"/>
            <w:shd w:val="clear" w:color="000000" w:fill="FFFFFF"/>
            <w:noWrap/>
            <w:hideMark/>
          </w:tcPr>
          <w:p w14:paraId="1119475F"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01755973" w14:textId="3125137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89,10</w:t>
            </w:r>
          </w:p>
        </w:tc>
        <w:tc>
          <w:tcPr>
            <w:tcW w:w="273" w:type="pct"/>
            <w:tcBorders>
              <w:top w:val="nil"/>
              <w:left w:val="nil"/>
              <w:bottom w:val="nil"/>
              <w:right w:val="nil"/>
            </w:tcBorders>
            <w:shd w:val="clear" w:color="auto" w:fill="auto"/>
            <w:vAlign w:val="bottom"/>
          </w:tcPr>
          <w:p w14:paraId="1D34ABD1" w14:textId="6175DB07"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100,07</w:t>
            </w:r>
          </w:p>
        </w:tc>
        <w:tc>
          <w:tcPr>
            <w:tcW w:w="709" w:type="pct"/>
            <w:tcBorders>
              <w:top w:val="nil"/>
              <w:left w:val="nil"/>
              <w:right w:val="nil"/>
            </w:tcBorders>
            <w:shd w:val="clear" w:color="auto" w:fill="auto"/>
            <w:noWrap/>
            <w:vAlign w:val="center"/>
            <w:hideMark/>
          </w:tcPr>
          <w:p w14:paraId="11D3D30B" w14:textId="6DA2E4E9"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92,99 a 106,12</w:t>
            </w:r>
          </w:p>
        </w:tc>
        <w:tc>
          <w:tcPr>
            <w:tcW w:w="639" w:type="pct"/>
            <w:tcBorders>
              <w:top w:val="nil"/>
              <w:left w:val="nil"/>
              <w:right w:val="nil"/>
            </w:tcBorders>
            <w:shd w:val="clear" w:color="auto" w:fill="auto"/>
            <w:noWrap/>
            <w:vAlign w:val="bottom"/>
          </w:tcPr>
          <w:p w14:paraId="06540412"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101,23 </w:t>
            </w:r>
          </w:p>
        </w:tc>
        <w:tc>
          <w:tcPr>
            <w:tcW w:w="760" w:type="pct"/>
            <w:tcBorders>
              <w:top w:val="nil"/>
              <w:left w:val="nil"/>
              <w:bottom w:val="nil"/>
              <w:right w:val="nil"/>
            </w:tcBorders>
            <w:shd w:val="clear" w:color="000000" w:fill="70AD47"/>
            <w:noWrap/>
            <w:vAlign w:val="center"/>
          </w:tcPr>
          <w:p w14:paraId="602CED6B"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58607EC5" w14:textId="77777777" w:rsidTr="00AE52E4">
        <w:trPr>
          <w:gridAfter w:val="2"/>
          <w:wAfter w:w="60" w:type="pct"/>
          <w:trHeight w:val="20"/>
          <w:jc w:val="center"/>
        </w:trPr>
        <w:tc>
          <w:tcPr>
            <w:tcW w:w="1071" w:type="pct"/>
            <w:vMerge/>
            <w:tcBorders>
              <w:bottom w:val="single" w:sz="4" w:space="0" w:color="auto"/>
            </w:tcBorders>
            <w:vAlign w:val="center"/>
            <w:hideMark/>
          </w:tcPr>
          <w:p w14:paraId="4439CFB2"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78E1C231"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bottom w:val="single" w:sz="4" w:space="0" w:color="auto"/>
            </w:tcBorders>
            <w:shd w:val="clear" w:color="auto" w:fill="auto"/>
            <w:noWrap/>
            <w:vAlign w:val="center"/>
            <w:hideMark/>
          </w:tcPr>
          <w:p w14:paraId="07E3CC89"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TACHA DE VEHICULO</w:t>
            </w:r>
          </w:p>
        </w:tc>
        <w:tc>
          <w:tcPr>
            <w:tcW w:w="386" w:type="pct"/>
            <w:tcBorders>
              <w:bottom w:val="single" w:sz="4" w:space="0" w:color="auto"/>
            </w:tcBorders>
            <w:shd w:val="clear" w:color="auto" w:fill="auto"/>
            <w:noWrap/>
            <w:vAlign w:val="center"/>
            <w:hideMark/>
          </w:tcPr>
          <w:p w14:paraId="492A6BA0"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88,18</w:t>
            </w:r>
          </w:p>
        </w:tc>
        <w:tc>
          <w:tcPr>
            <w:tcW w:w="68" w:type="pct"/>
            <w:shd w:val="clear" w:color="000000" w:fill="FFFFFF"/>
            <w:noWrap/>
            <w:hideMark/>
          </w:tcPr>
          <w:p w14:paraId="7B6FBA61"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single" w:sz="4" w:space="0" w:color="auto"/>
              <w:right w:val="nil"/>
            </w:tcBorders>
            <w:shd w:val="clear" w:color="auto" w:fill="auto"/>
            <w:vAlign w:val="bottom"/>
          </w:tcPr>
          <w:p w14:paraId="553D3A41" w14:textId="7668478B"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68,83</w:t>
            </w:r>
          </w:p>
        </w:tc>
        <w:tc>
          <w:tcPr>
            <w:tcW w:w="273" w:type="pct"/>
            <w:tcBorders>
              <w:top w:val="nil"/>
              <w:left w:val="nil"/>
              <w:bottom w:val="single" w:sz="4" w:space="0" w:color="auto"/>
              <w:right w:val="nil"/>
            </w:tcBorders>
            <w:shd w:val="clear" w:color="auto" w:fill="auto"/>
            <w:vAlign w:val="bottom"/>
          </w:tcPr>
          <w:p w14:paraId="40840D69" w14:textId="01607A1B"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72,36</w:t>
            </w:r>
          </w:p>
        </w:tc>
        <w:tc>
          <w:tcPr>
            <w:tcW w:w="709" w:type="pct"/>
            <w:tcBorders>
              <w:top w:val="nil"/>
              <w:left w:val="nil"/>
              <w:bottom w:val="single" w:sz="4" w:space="0" w:color="auto"/>
              <w:right w:val="nil"/>
            </w:tcBorders>
            <w:shd w:val="clear" w:color="auto" w:fill="auto"/>
            <w:noWrap/>
            <w:vAlign w:val="center"/>
            <w:hideMark/>
          </w:tcPr>
          <w:p w14:paraId="084E129A" w14:textId="3EB8543A"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88,18 a 98,62</w:t>
            </w:r>
          </w:p>
        </w:tc>
        <w:tc>
          <w:tcPr>
            <w:tcW w:w="639" w:type="pct"/>
            <w:tcBorders>
              <w:top w:val="nil"/>
              <w:left w:val="nil"/>
              <w:bottom w:val="single" w:sz="4" w:space="0" w:color="auto"/>
              <w:right w:val="nil"/>
            </w:tcBorders>
            <w:shd w:val="clear" w:color="auto" w:fill="auto"/>
            <w:noWrap/>
            <w:vAlign w:val="bottom"/>
          </w:tcPr>
          <w:p w14:paraId="362C5F0F"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92,71 </w:t>
            </w:r>
          </w:p>
        </w:tc>
        <w:tc>
          <w:tcPr>
            <w:tcW w:w="760" w:type="pct"/>
            <w:tcBorders>
              <w:top w:val="nil"/>
              <w:left w:val="nil"/>
              <w:bottom w:val="single" w:sz="4" w:space="0" w:color="auto"/>
              <w:right w:val="nil"/>
            </w:tcBorders>
            <w:shd w:val="clear" w:color="000000" w:fill="70AD47"/>
            <w:noWrap/>
            <w:vAlign w:val="center"/>
          </w:tcPr>
          <w:p w14:paraId="5F47965E"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ED6AE3" w:rsidRPr="0073029B" w14:paraId="03742BB5" w14:textId="77777777" w:rsidTr="00AE52E4">
        <w:trPr>
          <w:gridAfter w:val="2"/>
          <w:wAfter w:w="60" w:type="pct"/>
          <w:trHeight w:val="20"/>
          <w:jc w:val="center"/>
        </w:trPr>
        <w:tc>
          <w:tcPr>
            <w:tcW w:w="1071" w:type="pct"/>
            <w:vMerge/>
            <w:tcBorders>
              <w:bottom w:val="single" w:sz="4" w:space="0" w:color="auto"/>
            </w:tcBorders>
            <w:vAlign w:val="center"/>
            <w:hideMark/>
          </w:tcPr>
          <w:p w14:paraId="08EC379E"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691E5906"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top w:val="single" w:sz="4" w:space="0" w:color="auto"/>
            </w:tcBorders>
            <w:shd w:val="clear" w:color="000000" w:fill="C6E0B4"/>
            <w:noWrap/>
            <w:vAlign w:val="center"/>
            <w:hideMark/>
          </w:tcPr>
          <w:p w14:paraId="4C4A36F6"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Chorotega</w:t>
            </w:r>
          </w:p>
        </w:tc>
        <w:tc>
          <w:tcPr>
            <w:tcW w:w="386" w:type="pct"/>
            <w:tcBorders>
              <w:top w:val="single" w:sz="4" w:space="0" w:color="auto"/>
            </w:tcBorders>
            <w:shd w:val="clear" w:color="000000" w:fill="C6E0B4"/>
            <w:noWrap/>
            <w:vAlign w:val="center"/>
            <w:hideMark/>
          </w:tcPr>
          <w:p w14:paraId="562B57E7"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1210,65</w:t>
            </w:r>
          </w:p>
        </w:tc>
        <w:tc>
          <w:tcPr>
            <w:tcW w:w="68" w:type="pct"/>
            <w:shd w:val="clear" w:color="000000" w:fill="FFFFFF"/>
            <w:noWrap/>
            <w:hideMark/>
          </w:tcPr>
          <w:p w14:paraId="57D81F45"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single" w:sz="4" w:space="0" w:color="auto"/>
              <w:left w:val="nil"/>
              <w:bottom w:val="nil"/>
              <w:right w:val="nil"/>
            </w:tcBorders>
            <w:shd w:val="clear" w:color="000000" w:fill="C6E0B4"/>
            <w:vAlign w:val="bottom"/>
          </w:tcPr>
          <w:p w14:paraId="24FDFEF9" w14:textId="198D89BF"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1056,44</w:t>
            </w:r>
          </w:p>
        </w:tc>
        <w:tc>
          <w:tcPr>
            <w:tcW w:w="273" w:type="pct"/>
            <w:tcBorders>
              <w:top w:val="single" w:sz="4" w:space="0" w:color="auto"/>
              <w:left w:val="nil"/>
              <w:bottom w:val="nil"/>
              <w:right w:val="nil"/>
            </w:tcBorders>
            <w:shd w:val="clear" w:color="000000" w:fill="C6E0B4"/>
            <w:vAlign w:val="bottom"/>
          </w:tcPr>
          <w:p w14:paraId="1333668B" w14:textId="6D391A20"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944,55</w:t>
            </w:r>
          </w:p>
        </w:tc>
        <w:tc>
          <w:tcPr>
            <w:tcW w:w="709" w:type="pct"/>
            <w:tcBorders>
              <w:top w:val="single" w:sz="4" w:space="0" w:color="auto"/>
              <w:left w:val="nil"/>
              <w:bottom w:val="nil"/>
              <w:right w:val="nil"/>
            </w:tcBorders>
            <w:shd w:val="clear" w:color="000000" w:fill="C6E0B4"/>
            <w:noWrap/>
            <w:vAlign w:val="center"/>
            <w:hideMark/>
          </w:tcPr>
          <w:p w14:paraId="1934788E" w14:textId="387C4A19"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1045,8 a 1210,65</w:t>
            </w:r>
          </w:p>
        </w:tc>
        <w:tc>
          <w:tcPr>
            <w:tcW w:w="639" w:type="pct"/>
            <w:tcBorders>
              <w:top w:val="single" w:sz="4" w:space="0" w:color="auto"/>
              <w:left w:val="nil"/>
              <w:bottom w:val="nil"/>
              <w:right w:val="nil"/>
            </w:tcBorders>
            <w:shd w:val="clear" w:color="000000" w:fill="C6E0B4"/>
            <w:noWrap/>
            <w:vAlign w:val="bottom"/>
          </w:tcPr>
          <w:p w14:paraId="0D0194F0"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884,07 </w:t>
            </w:r>
          </w:p>
        </w:tc>
        <w:tc>
          <w:tcPr>
            <w:tcW w:w="760" w:type="pct"/>
            <w:tcBorders>
              <w:top w:val="single" w:sz="4" w:space="0" w:color="auto"/>
              <w:left w:val="nil"/>
              <w:bottom w:val="nil"/>
              <w:right w:val="nil"/>
            </w:tcBorders>
            <w:shd w:val="clear" w:color="000000" w:fill="70AD47"/>
            <w:noWrap/>
            <w:vAlign w:val="center"/>
          </w:tcPr>
          <w:p w14:paraId="10BB7B41" w14:textId="77777777" w:rsidR="003D5273" w:rsidRPr="0073029B" w:rsidRDefault="003D5273" w:rsidP="003D5273">
            <w:pPr>
              <w:spacing w:after="0" w:line="240" w:lineRule="auto"/>
              <w:jc w:val="center"/>
              <w:rPr>
                <w:rFonts w:cs="Tahoma"/>
                <w:b/>
                <w:bCs/>
                <w:color w:val="FFFFFF" w:themeColor="background1"/>
                <w:sz w:val="18"/>
                <w:szCs w:val="18"/>
              </w:rPr>
            </w:pPr>
            <w:r w:rsidRPr="0073029B">
              <w:rPr>
                <w:rFonts w:cs="Tahoma"/>
                <w:b/>
                <w:bCs/>
                <w:color w:val="FFFFFF"/>
                <w:sz w:val="18"/>
                <w:szCs w:val="18"/>
              </w:rPr>
              <w:t>Cumplimiento alto</w:t>
            </w:r>
          </w:p>
        </w:tc>
      </w:tr>
      <w:tr w:rsidR="00522D1B" w:rsidRPr="0073029B" w14:paraId="6097B880" w14:textId="77777777" w:rsidTr="00AE52E4">
        <w:trPr>
          <w:gridAfter w:val="2"/>
          <w:wAfter w:w="60" w:type="pct"/>
          <w:trHeight w:val="20"/>
          <w:jc w:val="center"/>
        </w:trPr>
        <w:tc>
          <w:tcPr>
            <w:tcW w:w="1071" w:type="pct"/>
            <w:vMerge/>
            <w:tcBorders>
              <w:bottom w:val="single" w:sz="4" w:space="0" w:color="auto"/>
            </w:tcBorders>
            <w:vAlign w:val="center"/>
            <w:hideMark/>
          </w:tcPr>
          <w:p w14:paraId="1ABD6FFC"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707DD6FC"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26AD637B"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ASALTO</w:t>
            </w:r>
          </w:p>
        </w:tc>
        <w:tc>
          <w:tcPr>
            <w:tcW w:w="386" w:type="pct"/>
            <w:shd w:val="clear" w:color="auto" w:fill="auto"/>
            <w:noWrap/>
            <w:vAlign w:val="center"/>
            <w:hideMark/>
          </w:tcPr>
          <w:p w14:paraId="64CE28BE"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192,33</w:t>
            </w:r>
          </w:p>
        </w:tc>
        <w:tc>
          <w:tcPr>
            <w:tcW w:w="68" w:type="pct"/>
            <w:shd w:val="clear" w:color="000000" w:fill="FFFFFF"/>
            <w:noWrap/>
            <w:hideMark/>
          </w:tcPr>
          <w:p w14:paraId="53FDF0AA"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auto" w:fill="auto"/>
            <w:vAlign w:val="bottom"/>
          </w:tcPr>
          <w:p w14:paraId="5A8300FE" w14:textId="65EA2DBD"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250,45</w:t>
            </w:r>
          </w:p>
        </w:tc>
        <w:tc>
          <w:tcPr>
            <w:tcW w:w="273" w:type="pct"/>
            <w:tcBorders>
              <w:top w:val="nil"/>
              <w:left w:val="nil"/>
              <w:bottom w:val="nil"/>
              <w:right w:val="nil"/>
            </w:tcBorders>
            <w:shd w:val="clear" w:color="auto" w:fill="auto"/>
            <w:vAlign w:val="bottom"/>
          </w:tcPr>
          <w:p w14:paraId="6C6BC900" w14:textId="42AC1FEF"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161,12</w:t>
            </w:r>
          </w:p>
        </w:tc>
        <w:tc>
          <w:tcPr>
            <w:tcW w:w="709" w:type="pct"/>
            <w:tcBorders>
              <w:top w:val="nil"/>
              <w:left w:val="nil"/>
              <w:bottom w:val="nil"/>
              <w:right w:val="nil"/>
            </w:tcBorders>
            <w:shd w:val="clear" w:color="auto" w:fill="auto"/>
            <w:noWrap/>
            <w:vAlign w:val="center"/>
            <w:hideMark/>
          </w:tcPr>
          <w:p w14:paraId="50069C53" w14:textId="4DA5CB0E"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187,3 a 192,33</w:t>
            </w:r>
          </w:p>
        </w:tc>
        <w:tc>
          <w:tcPr>
            <w:tcW w:w="639" w:type="pct"/>
            <w:tcBorders>
              <w:top w:val="nil"/>
              <w:left w:val="nil"/>
              <w:bottom w:val="nil"/>
              <w:right w:val="nil"/>
            </w:tcBorders>
            <w:shd w:val="clear" w:color="auto" w:fill="auto"/>
            <w:noWrap/>
            <w:vAlign w:val="bottom"/>
          </w:tcPr>
          <w:p w14:paraId="28A7EB94"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147,43 </w:t>
            </w:r>
          </w:p>
        </w:tc>
        <w:tc>
          <w:tcPr>
            <w:tcW w:w="760" w:type="pct"/>
            <w:tcBorders>
              <w:top w:val="nil"/>
              <w:left w:val="nil"/>
              <w:bottom w:val="nil"/>
              <w:right w:val="nil"/>
            </w:tcBorders>
            <w:shd w:val="clear" w:color="000000" w:fill="70AD47"/>
            <w:noWrap/>
            <w:vAlign w:val="center"/>
          </w:tcPr>
          <w:p w14:paraId="4D0554EC"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1B842E0F" w14:textId="77777777" w:rsidTr="00AE52E4">
        <w:trPr>
          <w:gridAfter w:val="2"/>
          <w:wAfter w:w="60" w:type="pct"/>
          <w:trHeight w:val="20"/>
          <w:jc w:val="center"/>
        </w:trPr>
        <w:tc>
          <w:tcPr>
            <w:tcW w:w="1071" w:type="pct"/>
            <w:vMerge/>
            <w:tcBorders>
              <w:bottom w:val="single" w:sz="4" w:space="0" w:color="auto"/>
            </w:tcBorders>
            <w:vAlign w:val="center"/>
            <w:hideMark/>
          </w:tcPr>
          <w:p w14:paraId="378DED61"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5AD864C6"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3A9EE529"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HOMICIDIO</w:t>
            </w:r>
          </w:p>
        </w:tc>
        <w:tc>
          <w:tcPr>
            <w:tcW w:w="386" w:type="pct"/>
            <w:shd w:val="clear" w:color="auto" w:fill="auto"/>
            <w:noWrap/>
            <w:vAlign w:val="center"/>
            <w:hideMark/>
          </w:tcPr>
          <w:p w14:paraId="7CCA1894"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9,78</w:t>
            </w:r>
          </w:p>
        </w:tc>
        <w:tc>
          <w:tcPr>
            <w:tcW w:w="68" w:type="pct"/>
            <w:shd w:val="clear" w:color="000000" w:fill="FFFFFF"/>
            <w:noWrap/>
            <w:hideMark/>
          </w:tcPr>
          <w:p w14:paraId="701DD8EE"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000000" w:fill="FF0000"/>
            <w:vAlign w:val="bottom"/>
          </w:tcPr>
          <w:p w14:paraId="346877D4" w14:textId="63E9A531"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20,24</w:t>
            </w:r>
          </w:p>
        </w:tc>
        <w:tc>
          <w:tcPr>
            <w:tcW w:w="273" w:type="pct"/>
            <w:tcBorders>
              <w:top w:val="nil"/>
              <w:left w:val="nil"/>
              <w:bottom w:val="nil"/>
              <w:right w:val="nil"/>
            </w:tcBorders>
            <w:shd w:val="clear" w:color="000000" w:fill="FF0000"/>
            <w:vAlign w:val="bottom"/>
          </w:tcPr>
          <w:p w14:paraId="3B09BD7D" w14:textId="6051DED3"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18,30</w:t>
            </w:r>
          </w:p>
        </w:tc>
        <w:tc>
          <w:tcPr>
            <w:tcW w:w="709" w:type="pct"/>
            <w:tcBorders>
              <w:top w:val="nil"/>
              <w:left w:val="nil"/>
              <w:bottom w:val="nil"/>
              <w:right w:val="nil"/>
            </w:tcBorders>
            <w:shd w:val="clear" w:color="auto" w:fill="auto"/>
            <w:noWrap/>
            <w:vAlign w:val="center"/>
            <w:hideMark/>
          </w:tcPr>
          <w:p w14:paraId="44180358" w14:textId="51761B7F"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9,78 a 10,51</w:t>
            </w:r>
          </w:p>
        </w:tc>
        <w:tc>
          <w:tcPr>
            <w:tcW w:w="639" w:type="pct"/>
            <w:tcBorders>
              <w:top w:val="nil"/>
              <w:left w:val="nil"/>
              <w:bottom w:val="nil"/>
              <w:right w:val="nil"/>
            </w:tcBorders>
            <w:shd w:val="clear" w:color="000000" w:fill="FF0000"/>
            <w:noWrap/>
            <w:vAlign w:val="bottom"/>
          </w:tcPr>
          <w:p w14:paraId="68451B90" w14:textId="77777777" w:rsidR="003D5273" w:rsidRPr="00780BF1" w:rsidRDefault="003D5273" w:rsidP="003D5273">
            <w:pPr>
              <w:spacing w:after="0" w:line="240" w:lineRule="auto"/>
              <w:jc w:val="right"/>
              <w:rPr>
                <w:rFonts w:eastAsia="Times New Roman" w:cs="Tahoma"/>
                <w:sz w:val="18"/>
                <w:szCs w:val="18"/>
                <w:lang w:eastAsia="es-CR"/>
              </w:rPr>
            </w:pPr>
            <w:r w:rsidRPr="001072FC">
              <w:rPr>
                <w:rFonts w:cs="Tahoma"/>
                <w:color w:val="FFFFFF" w:themeColor="background1"/>
                <w:sz w:val="18"/>
                <w:szCs w:val="18"/>
              </w:rPr>
              <w:t xml:space="preserve">                     18,37 </w:t>
            </w:r>
          </w:p>
        </w:tc>
        <w:tc>
          <w:tcPr>
            <w:tcW w:w="760" w:type="pct"/>
            <w:tcBorders>
              <w:top w:val="nil"/>
              <w:left w:val="nil"/>
              <w:bottom w:val="nil"/>
              <w:right w:val="nil"/>
            </w:tcBorders>
            <w:shd w:val="clear" w:color="000000" w:fill="FF0000"/>
            <w:noWrap/>
            <w:vAlign w:val="center"/>
          </w:tcPr>
          <w:p w14:paraId="3E3F3FED"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bajo</w:t>
            </w:r>
          </w:p>
        </w:tc>
      </w:tr>
      <w:tr w:rsidR="00522D1B" w:rsidRPr="0073029B" w14:paraId="46334222" w14:textId="77777777" w:rsidTr="00AE52E4">
        <w:trPr>
          <w:gridAfter w:val="2"/>
          <w:wAfter w:w="60" w:type="pct"/>
          <w:trHeight w:val="20"/>
          <w:jc w:val="center"/>
        </w:trPr>
        <w:tc>
          <w:tcPr>
            <w:tcW w:w="1071" w:type="pct"/>
            <w:vMerge/>
            <w:tcBorders>
              <w:bottom w:val="single" w:sz="4" w:space="0" w:color="auto"/>
            </w:tcBorders>
            <w:vAlign w:val="center"/>
            <w:hideMark/>
          </w:tcPr>
          <w:p w14:paraId="38E7A973"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2A5C7CDE"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392F0D31"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HURTO</w:t>
            </w:r>
          </w:p>
        </w:tc>
        <w:tc>
          <w:tcPr>
            <w:tcW w:w="386" w:type="pct"/>
            <w:shd w:val="clear" w:color="auto" w:fill="auto"/>
            <w:noWrap/>
            <w:vAlign w:val="center"/>
            <w:hideMark/>
          </w:tcPr>
          <w:p w14:paraId="5D19E1A6"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476,07</w:t>
            </w:r>
          </w:p>
        </w:tc>
        <w:tc>
          <w:tcPr>
            <w:tcW w:w="68" w:type="pct"/>
            <w:shd w:val="clear" w:color="000000" w:fill="FFFFFF"/>
            <w:noWrap/>
            <w:vAlign w:val="center"/>
            <w:hideMark/>
          </w:tcPr>
          <w:p w14:paraId="44F276C5"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auto" w:fill="auto"/>
            <w:vAlign w:val="bottom"/>
          </w:tcPr>
          <w:p w14:paraId="1F697606" w14:textId="15733A78"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351,17</w:t>
            </w:r>
          </w:p>
        </w:tc>
        <w:tc>
          <w:tcPr>
            <w:tcW w:w="273" w:type="pct"/>
            <w:tcBorders>
              <w:top w:val="nil"/>
              <w:left w:val="nil"/>
              <w:bottom w:val="nil"/>
              <w:right w:val="nil"/>
            </w:tcBorders>
            <w:shd w:val="clear" w:color="000000" w:fill="FF0000"/>
            <w:vAlign w:val="bottom"/>
          </w:tcPr>
          <w:p w14:paraId="189EDF6D" w14:textId="3FDE3E09"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358,60</w:t>
            </w:r>
          </w:p>
        </w:tc>
        <w:tc>
          <w:tcPr>
            <w:tcW w:w="709" w:type="pct"/>
            <w:tcBorders>
              <w:top w:val="nil"/>
              <w:left w:val="nil"/>
              <w:bottom w:val="nil"/>
              <w:right w:val="nil"/>
            </w:tcBorders>
            <w:shd w:val="clear" w:color="auto" w:fill="auto"/>
            <w:noWrap/>
            <w:vAlign w:val="center"/>
            <w:hideMark/>
          </w:tcPr>
          <w:p w14:paraId="24C338C3" w14:textId="4C775258"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342,98 a 476,07</w:t>
            </w:r>
          </w:p>
        </w:tc>
        <w:tc>
          <w:tcPr>
            <w:tcW w:w="639" w:type="pct"/>
            <w:tcBorders>
              <w:top w:val="nil"/>
              <w:left w:val="nil"/>
              <w:bottom w:val="nil"/>
              <w:right w:val="nil"/>
            </w:tcBorders>
            <w:shd w:val="clear" w:color="auto" w:fill="auto"/>
            <w:noWrap/>
            <w:vAlign w:val="center"/>
          </w:tcPr>
          <w:p w14:paraId="70655878"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308,14</w:t>
            </w:r>
          </w:p>
        </w:tc>
        <w:tc>
          <w:tcPr>
            <w:tcW w:w="760" w:type="pct"/>
            <w:tcBorders>
              <w:top w:val="nil"/>
              <w:left w:val="nil"/>
              <w:bottom w:val="nil"/>
              <w:right w:val="nil"/>
            </w:tcBorders>
            <w:shd w:val="clear" w:color="000000" w:fill="70AD47"/>
            <w:noWrap/>
            <w:vAlign w:val="center"/>
          </w:tcPr>
          <w:p w14:paraId="7AFFE64E"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0549EA8D" w14:textId="77777777" w:rsidTr="00AE52E4">
        <w:trPr>
          <w:gridAfter w:val="2"/>
          <w:wAfter w:w="60" w:type="pct"/>
          <w:trHeight w:val="20"/>
          <w:jc w:val="center"/>
        </w:trPr>
        <w:tc>
          <w:tcPr>
            <w:tcW w:w="1071" w:type="pct"/>
            <w:vMerge/>
            <w:tcBorders>
              <w:bottom w:val="single" w:sz="4" w:space="0" w:color="auto"/>
            </w:tcBorders>
            <w:vAlign w:val="center"/>
            <w:hideMark/>
          </w:tcPr>
          <w:p w14:paraId="377CFFAC"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516943D9"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4E5CB7EB"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w:t>
            </w:r>
          </w:p>
        </w:tc>
        <w:tc>
          <w:tcPr>
            <w:tcW w:w="386" w:type="pct"/>
            <w:shd w:val="clear" w:color="auto" w:fill="auto"/>
            <w:noWrap/>
            <w:vAlign w:val="center"/>
            <w:hideMark/>
          </w:tcPr>
          <w:p w14:paraId="56089547"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357,38</w:t>
            </w:r>
          </w:p>
        </w:tc>
        <w:tc>
          <w:tcPr>
            <w:tcW w:w="68" w:type="pct"/>
            <w:shd w:val="clear" w:color="000000" w:fill="FFFFFF"/>
            <w:noWrap/>
            <w:hideMark/>
          </w:tcPr>
          <w:p w14:paraId="225395A5"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auto" w:fill="auto"/>
            <w:vAlign w:val="bottom"/>
          </w:tcPr>
          <w:p w14:paraId="6E3E3B35" w14:textId="0096D621"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258,75</w:t>
            </w:r>
          </w:p>
        </w:tc>
        <w:tc>
          <w:tcPr>
            <w:tcW w:w="273" w:type="pct"/>
            <w:tcBorders>
              <w:top w:val="nil"/>
              <w:left w:val="nil"/>
              <w:bottom w:val="nil"/>
              <w:right w:val="nil"/>
            </w:tcBorders>
            <w:shd w:val="clear" w:color="auto" w:fill="auto"/>
            <w:vAlign w:val="bottom"/>
          </w:tcPr>
          <w:p w14:paraId="6DF9E9E3" w14:textId="4BFEC300"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282,26</w:t>
            </w:r>
          </w:p>
        </w:tc>
        <w:tc>
          <w:tcPr>
            <w:tcW w:w="709" w:type="pct"/>
            <w:tcBorders>
              <w:top w:val="nil"/>
              <w:left w:val="nil"/>
              <w:bottom w:val="nil"/>
              <w:right w:val="nil"/>
            </w:tcBorders>
            <w:shd w:val="clear" w:color="auto" w:fill="auto"/>
            <w:noWrap/>
            <w:vAlign w:val="center"/>
            <w:hideMark/>
          </w:tcPr>
          <w:p w14:paraId="7BA08E0A" w14:textId="2D92A613"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309,68 a 357,38</w:t>
            </w:r>
          </w:p>
        </w:tc>
        <w:tc>
          <w:tcPr>
            <w:tcW w:w="639" w:type="pct"/>
            <w:tcBorders>
              <w:top w:val="nil"/>
              <w:left w:val="nil"/>
              <w:bottom w:val="nil"/>
              <w:right w:val="nil"/>
            </w:tcBorders>
            <w:shd w:val="clear" w:color="auto" w:fill="auto"/>
            <w:noWrap/>
            <w:vAlign w:val="bottom"/>
          </w:tcPr>
          <w:p w14:paraId="59761130"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250,14 </w:t>
            </w:r>
          </w:p>
        </w:tc>
        <w:tc>
          <w:tcPr>
            <w:tcW w:w="760" w:type="pct"/>
            <w:tcBorders>
              <w:top w:val="nil"/>
              <w:left w:val="nil"/>
              <w:bottom w:val="nil"/>
              <w:right w:val="nil"/>
            </w:tcBorders>
            <w:shd w:val="clear" w:color="000000" w:fill="70AD47"/>
            <w:noWrap/>
            <w:vAlign w:val="center"/>
          </w:tcPr>
          <w:p w14:paraId="217E4C82"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624D24EC" w14:textId="77777777" w:rsidTr="00AE52E4">
        <w:trPr>
          <w:gridAfter w:val="2"/>
          <w:wAfter w:w="60" w:type="pct"/>
          <w:trHeight w:val="20"/>
          <w:jc w:val="center"/>
        </w:trPr>
        <w:tc>
          <w:tcPr>
            <w:tcW w:w="1071" w:type="pct"/>
            <w:vMerge/>
            <w:tcBorders>
              <w:bottom w:val="single" w:sz="4" w:space="0" w:color="auto"/>
            </w:tcBorders>
            <w:vAlign w:val="center"/>
            <w:hideMark/>
          </w:tcPr>
          <w:p w14:paraId="7FB7D618"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4A9D63BC"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1307F772"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 DE VEHICULO</w:t>
            </w:r>
          </w:p>
        </w:tc>
        <w:tc>
          <w:tcPr>
            <w:tcW w:w="386" w:type="pct"/>
            <w:shd w:val="clear" w:color="auto" w:fill="auto"/>
            <w:noWrap/>
            <w:vAlign w:val="center"/>
            <w:hideMark/>
          </w:tcPr>
          <w:p w14:paraId="33AC8337"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62,57</w:t>
            </w:r>
          </w:p>
        </w:tc>
        <w:tc>
          <w:tcPr>
            <w:tcW w:w="68" w:type="pct"/>
            <w:shd w:val="clear" w:color="000000" w:fill="FFFFFF"/>
            <w:noWrap/>
            <w:hideMark/>
          </w:tcPr>
          <w:p w14:paraId="7C32B4A9"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nil"/>
              <w:right w:val="nil"/>
            </w:tcBorders>
            <w:shd w:val="clear" w:color="000000" w:fill="FF0000"/>
            <w:vAlign w:val="bottom"/>
          </w:tcPr>
          <w:p w14:paraId="2E73528B" w14:textId="35A15CDF"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92,43</w:t>
            </w:r>
          </w:p>
        </w:tc>
        <w:tc>
          <w:tcPr>
            <w:tcW w:w="273" w:type="pct"/>
            <w:tcBorders>
              <w:top w:val="nil"/>
              <w:left w:val="nil"/>
              <w:bottom w:val="nil"/>
              <w:right w:val="nil"/>
            </w:tcBorders>
            <w:shd w:val="clear" w:color="000000" w:fill="FF0000"/>
            <w:vAlign w:val="bottom"/>
          </w:tcPr>
          <w:p w14:paraId="4F212E29" w14:textId="078BA7C7"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74,66</w:t>
            </w:r>
          </w:p>
        </w:tc>
        <w:tc>
          <w:tcPr>
            <w:tcW w:w="709" w:type="pct"/>
            <w:tcBorders>
              <w:top w:val="nil"/>
              <w:left w:val="nil"/>
              <w:right w:val="nil"/>
            </w:tcBorders>
            <w:shd w:val="clear" w:color="auto" w:fill="auto"/>
            <w:noWrap/>
            <w:vAlign w:val="center"/>
            <w:hideMark/>
          </w:tcPr>
          <w:p w14:paraId="4049B5E0" w14:textId="63550156"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62,57 a 65,84</w:t>
            </w:r>
          </w:p>
        </w:tc>
        <w:tc>
          <w:tcPr>
            <w:tcW w:w="639" w:type="pct"/>
            <w:tcBorders>
              <w:top w:val="nil"/>
              <w:left w:val="nil"/>
              <w:right w:val="nil"/>
            </w:tcBorders>
            <w:shd w:val="clear" w:color="000000" w:fill="FF0000"/>
            <w:noWrap/>
            <w:vAlign w:val="bottom"/>
          </w:tcPr>
          <w:p w14:paraId="66D31D3A" w14:textId="77777777" w:rsidR="003D5273" w:rsidRPr="00780BF1" w:rsidRDefault="003D5273" w:rsidP="003D5273">
            <w:pPr>
              <w:spacing w:after="0" w:line="240" w:lineRule="auto"/>
              <w:jc w:val="right"/>
              <w:rPr>
                <w:rFonts w:eastAsia="Times New Roman" w:cs="Tahoma"/>
                <w:sz w:val="18"/>
                <w:szCs w:val="18"/>
                <w:lang w:eastAsia="es-CR"/>
              </w:rPr>
            </w:pPr>
            <w:r w:rsidRPr="001072FC">
              <w:rPr>
                <w:rFonts w:cs="Tahoma"/>
                <w:color w:val="FFFFFF" w:themeColor="background1"/>
                <w:sz w:val="18"/>
                <w:szCs w:val="18"/>
              </w:rPr>
              <w:t xml:space="preserve">                     89,66 </w:t>
            </w:r>
          </w:p>
        </w:tc>
        <w:tc>
          <w:tcPr>
            <w:tcW w:w="760" w:type="pct"/>
            <w:tcBorders>
              <w:top w:val="nil"/>
              <w:left w:val="nil"/>
              <w:right w:val="nil"/>
            </w:tcBorders>
            <w:shd w:val="clear" w:color="000000" w:fill="FF0000"/>
            <w:noWrap/>
            <w:vAlign w:val="center"/>
          </w:tcPr>
          <w:p w14:paraId="4C152584"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bajo</w:t>
            </w:r>
          </w:p>
        </w:tc>
      </w:tr>
      <w:tr w:rsidR="00522D1B" w:rsidRPr="0073029B" w14:paraId="70A954D8" w14:textId="77777777" w:rsidTr="00AE52E4">
        <w:trPr>
          <w:gridAfter w:val="2"/>
          <w:wAfter w:w="60" w:type="pct"/>
          <w:trHeight w:val="20"/>
          <w:jc w:val="center"/>
        </w:trPr>
        <w:tc>
          <w:tcPr>
            <w:tcW w:w="1071" w:type="pct"/>
            <w:vMerge/>
            <w:tcBorders>
              <w:bottom w:val="single" w:sz="4" w:space="0" w:color="auto"/>
            </w:tcBorders>
            <w:vAlign w:val="center"/>
            <w:hideMark/>
          </w:tcPr>
          <w:p w14:paraId="448E681F"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263D46CE"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bottom w:val="single" w:sz="4" w:space="0" w:color="auto"/>
            </w:tcBorders>
            <w:shd w:val="clear" w:color="auto" w:fill="auto"/>
            <w:noWrap/>
            <w:vAlign w:val="center"/>
            <w:hideMark/>
          </w:tcPr>
          <w:p w14:paraId="17D202A3"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TACHA DE VEHICULO</w:t>
            </w:r>
          </w:p>
        </w:tc>
        <w:tc>
          <w:tcPr>
            <w:tcW w:w="386" w:type="pct"/>
            <w:tcBorders>
              <w:bottom w:val="single" w:sz="4" w:space="0" w:color="auto"/>
            </w:tcBorders>
            <w:shd w:val="clear" w:color="auto" w:fill="auto"/>
            <w:noWrap/>
            <w:vAlign w:val="center"/>
            <w:hideMark/>
          </w:tcPr>
          <w:p w14:paraId="6EBBEAB9"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112,52</w:t>
            </w:r>
          </w:p>
        </w:tc>
        <w:tc>
          <w:tcPr>
            <w:tcW w:w="68" w:type="pct"/>
            <w:shd w:val="clear" w:color="000000" w:fill="FFFFFF"/>
            <w:noWrap/>
            <w:hideMark/>
          </w:tcPr>
          <w:p w14:paraId="3A28AE4C"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single" w:sz="4" w:space="0" w:color="auto"/>
              <w:right w:val="nil"/>
            </w:tcBorders>
            <w:shd w:val="clear" w:color="auto" w:fill="auto"/>
            <w:vAlign w:val="bottom"/>
          </w:tcPr>
          <w:p w14:paraId="492CF361" w14:textId="0A74A94A"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83,40</w:t>
            </w:r>
          </w:p>
        </w:tc>
        <w:tc>
          <w:tcPr>
            <w:tcW w:w="273" w:type="pct"/>
            <w:tcBorders>
              <w:top w:val="nil"/>
              <w:left w:val="nil"/>
              <w:bottom w:val="single" w:sz="4" w:space="0" w:color="auto"/>
              <w:right w:val="nil"/>
            </w:tcBorders>
            <w:shd w:val="clear" w:color="auto" w:fill="auto"/>
            <w:vAlign w:val="bottom"/>
          </w:tcPr>
          <w:p w14:paraId="415A83BC" w14:textId="13B0296E"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49,61</w:t>
            </w:r>
          </w:p>
        </w:tc>
        <w:tc>
          <w:tcPr>
            <w:tcW w:w="709" w:type="pct"/>
            <w:tcBorders>
              <w:top w:val="nil"/>
              <w:left w:val="nil"/>
              <w:bottom w:val="single" w:sz="4" w:space="0" w:color="auto"/>
              <w:right w:val="nil"/>
            </w:tcBorders>
            <w:shd w:val="clear" w:color="auto" w:fill="auto"/>
            <w:noWrap/>
            <w:vAlign w:val="center"/>
            <w:hideMark/>
          </w:tcPr>
          <w:p w14:paraId="45B37373" w14:textId="2D661C5A"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112,52 a 129,48</w:t>
            </w:r>
          </w:p>
        </w:tc>
        <w:tc>
          <w:tcPr>
            <w:tcW w:w="639" w:type="pct"/>
            <w:tcBorders>
              <w:top w:val="nil"/>
              <w:left w:val="nil"/>
              <w:bottom w:val="single" w:sz="4" w:space="0" w:color="auto"/>
              <w:right w:val="nil"/>
            </w:tcBorders>
            <w:shd w:val="clear" w:color="auto" w:fill="auto"/>
            <w:noWrap/>
            <w:vAlign w:val="bottom"/>
          </w:tcPr>
          <w:p w14:paraId="1060D474"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70,33 </w:t>
            </w:r>
          </w:p>
        </w:tc>
        <w:tc>
          <w:tcPr>
            <w:tcW w:w="760" w:type="pct"/>
            <w:tcBorders>
              <w:top w:val="nil"/>
              <w:left w:val="nil"/>
              <w:bottom w:val="single" w:sz="4" w:space="0" w:color="auto"/>
              <w:right w:val="nil"/>
            </w:tcBorders>
            <w:shd w:val="clear" w:color="000000" w:fill="70AD47"/>
            <w:noWrap/>
            <w:vAlign w:val="center"/>
          </w:tcPr>
          <w:p w14:paraId="6DC3192A"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ED6AE3" w:rsidRPr="0073029B" w14:paraId="1AAB1D45" w14:textId="77777777" w:rsidTr="00AE52E4">
        <w:trPr>
          <w:gridAfter w:val="2"/>
          <w:wAfter w:w="60" w:type="pct"/>
          <w:trHeight w:val="20"/>
          <w:jc w:val="center"/>
        </w:trPr>
        <w:tc>
          <w:tcPr>
            <w:tcW w:w="1071" w:type="pct"/>
            <w:vMerge/>
            <w:tcBorders>
              <w:bottom w:val="single" w:sz="4" w:space="0" w:color="auto"/>
            </w:tcBorders>
            <w:vAlign w:val="center"/>
            <w:hideMark/>
          </w:tcPr>
          <w:p w14:paraId="2B28D496"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58704A8B"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top w:val="single" w:sz="4" w:space="0" w:color="auto"/>
            </w:tcBorders>
            <w:shd w:val="clear" w:color="000000" w:fill="C6E0B4"/>
            <w:noWrap/>
            <w:vAlign w:val="center"/>
            <w:hideMark/>
          </w:tcPr>
          <w:p w14:paraId="66E89E58"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Huetar Caribe</w:t>
            </w:r>
          </w:p>
        </w:tc>
        <w:tc>
          <w:tcPr>
            <w:tcW w:w="386" w:type="pct"/>
            <w:tcBorders>
              <w:top w:val="single" w:sz="4" w:space="0" w:color="auto"/>
            </w:tcBorders>
            <w:shd w:val="clear" w:color="000000" w:fill="C6E0B4"/>
            <w:noWrap/>
            <w:vAlign w:val="center"/>
            <w:hideMark/>
          </w:tcPr>
          <w:p w14:paraId="050F8CBC"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1264,55</w:t>
            </w:r>
          </w:p>
        </w:tc>
        <w:tc>
          <w:tcPr>
            <w:tcW w:w="68" w:type="pct"/>
            <w:shd w:val="clear" w:color="000000" w:fill="FFFFFF"/>
            <w:noWrap/>
            <w:hideMark/>
          </w:tcPr>
          <w:p w14:paraId="4096B7F4"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single" w:sz="4" w:space="0" w:color="auto"/>
              <w:left w:val="nil"/>
              <w:bottom w:val="nil"/>
              <w:right w:val="nil"/>
            </w:tcBorders>
            <w:shd w:val="clear" w:color="000000" w:fill="C6E0B4"/>
            <w:vAlign w:val="bottom"/>
          </w:tcPr>
          <w:p w14:paraId="24500E74" w14:textId="388F256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984,56</w:t>
            </w:r>
          </w:p>
        </w:tc>
        <w:tc>
          <w:tcPr>
            <w:tcW w:w="273" w:type="pct"/>
            <w:tcBorders>
              <w:top w:val="single" w:sz="4" w:space="0" w:color="auto"/>
              <w:left w:val="nil"/>
              <w:bottom w:val="nil"/>
              <w:right w:val="nil"/>
            </w:tcBorders>
            <w:shd w:val="clear" w:color="000000" w:fill="C6E0B4"/>
            <w:vAlign w:val="bottom"/>
          </w:tcPr>
          <w:p w14:paraId="3D6B7573" w14:textId="683213E9"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776,68</w:t>
            </w:r>
          </w:p>
        </w:tc>
        <w:tc>
          <w:tcPr>
            <w:tcW w:w="709" w:type="pct"/>
            <w:tcBorders>
              <w:top w:val="single" w:sz="4" w:space="0" w:color="auto"/>
              <w:left w:val="nil"/>
              <w:bottom w:val="nil"/>
              <w:right w:val="nil"/>
            </w:tcBorders>
            <w:shd w:val="clear" w:color="000000" w:fill="C6E0B4"/>
            <w:noWrap/>
            <w:vAlign w:val="center"/>
            <w:hideMark/>
          </w:tcPr>
          <w:p w14:paraId="711BD332" w14:textId="0A9CD386"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1212,37 a 1264,55</w:t>
            </w:r>
          </w:p>
        </w:tc>
        <w:tc>
          <w:tcPr>
            <w:tcW w:w="639" w:type="pct"/>
            <w:tcBorders>
              <w:top w:val="single" w:sz="4" w:space="0" w:color="auto"/>
              <w:left w:val="nil"/>
              <w:bottom w:val="nil"/>
              <w:right w:val="nil"/>
            </w:tcBorders>
            <w:shd w:val="clear" w:color="000000" w:fill="C6E0B4"/>
            <w:noWrap/>
            <w:vAlign w:val="bottom"/>
          </w:tcPr>
          <w:p w14:paraId="538210E9"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776,00 </w:t>
            </w:r>
          </w:p>
        </w:tc>
        <w:tc>
          <w:tcPr>
            <w:tcW w:w="760" w:type="pct"/>
            <w:tcBorders>
              <w:top w:val="single" w:sz="4" w:space="0" w:color="auto"/>
              <w:left w:val="nil"/>
              <w:bottom w:val="nil"/>
              <w:right w:val="nil"/>
            </w:tcBorders>
            <w:shd w:val="clear" w:color="000000" w:fill="70AD47"/>
            <w:noWrap/>
            <w:vAlign w:val="center"/>
          </w:tcPr>
          <w:p w14:paraId="3FCF9C47"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4D350E56" w14:textId="77777777" w:rsidTr="00AE52E4">
        <w:trPr>
          <w:gridAfter w:val="2"/>
          <w:wAfter w:w="60" w:type="pct"/>
          <w:trHeight w:val="20"/>
          <w:jc w:val="center"/>
        </w:trPr>
        <w:tc>
          <w:tcPr>
            <w:tcW w:w="1071" w:type="pct"/>
            <w:vMerge/>
            <w:tcBorders>
              <w:bottom w:val="single" w:sz="4" w:space="0" w:color="auto"/>
            </w:tcBorders>
            <w:vAlign w:val="center"/>
            <w:hideMark/>
          </w:tcPr>
          <w:p w14:paraId="318EB2DD"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4A70971C"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5C61EA4E"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ASALTO</w:t>
            </w:r>
          </w:p>
        </w:tc>
        <w:tc>
          <w:tcPr>
            <w:tcW w:w="386" w:type="pct"/>
            <w:shd w:val="clear" w:color="auto" w:fill="auto"/>
            <w:noWrap/>
            <w:vAlign w:val="center"/>
            <w:hideMark/>
          </w:tcPr>
          <w:p w14:paraId="3366AA13"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464,37</w:t>
            </w:r>
          </w:p>
        </w:tc>
        <w:tc>
          <w:tcPr>
            <w:tcW w:w="68" w:type="pct"/>
            <w:shd w:val="clear" w:color="000000" w:fill="FFFFFF"/>
            <w:noWrap/>
            <w:hideMark/>
          </w:tcPr>
          <w:p w14:paraId="0497586C"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48FE0DF2" w14:textId="669A5F4B"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267,21</w:t>
            </w:r>
          </w:p>
        </w:tc>
        <w:tc>
          <w:tcPr>
            <w:tcW w:w="273" w:type="pct"/>
            <w:tcBorders>
              <w:top w:val="nil"/>
              <w:left w:val="nil"/>
              <w:bottom w:val="nil"/>
              <w:right w:val="nil"/>
            </w:tcBorders>
            <w:shd w:val="clear" w:color="auto" w:fill="auto"/>
            <w:vAlign w:val="bottom"/>
          </w:tcPr>
          <w:p w14:paraId="6489D159" w14:textId="6432BF43"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205,18</w:t>
            </w:r>
          </w:p>
        </w:tc>
        <w:tc>
          <w:tcPr>
            <w:tcW w:w="709" w:type="pct"/>
            <w:tcBorders>
              <w:top w:val="nil"/>
              <w:left w:val="nil"/>
              <w:bottom w:val="nil"/>
              <w:right w:val="nil"/>
            </w:tcBorders>
            <w:shd w:val="clear" w:color="auto" w:fill="auto"/>
            <w:noWrap/>
            <w:vAlign w:val="center"/>
            <w:hideMark/>
          </w:tcPr>
          <w:p w14:paraId="3D27DF95" w14:textId="0B1FF86B"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464,37 a 467,34</w:t>
            </w:r>
          </w:p>
        </w:tc>
        <w:tc>
          <w:tcPr>
            <w:tcW w:w="639" w:type="pct"/>
            <w:tcBorders>
              <w:top w:val="nil"/>
              <w:left w:val="nil"/>
              <w:bottom w:val="nil"/>
              <w:right w:val="nil"/>
            </w:tcBorders>
            <w:shd w:val="clear" w:color="auto" w:fill="auto"/>
            <w:noWrap/>
            <w:vAlign w:val="bottom"/>
          </w:tcPr>
          <w:p w14:paraId="3DB92162"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209,74 </w:t>
            </w:r>
          </w:p>
        </w:tc>
        <w:tc>
          <w:tcPr>
            <w:tcW w:w="760" w:type="pct"/>
            <w:tcBorders>
              <w:top w:val="nil"/>
              <w:left w:val="nil"/>
              <w:bottom w:val="nil"/>
              <w:right w:val="nil"/>
            </w:tcBorders>
            <w:shd w:val="clear" w:color="000000" w:fill="70AD47"/>
            <w:noWrap/>
            <w:vAlign w:val="center"/>
          </w:tcPr>
          <w:p w14:paraId="024286AB"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555B8726" w14:textId="77777777" w:rsidTr="00AE52E4">
        <w:trPr>
          <w:gridAfter w:val="2"/>
          <w:wAfter w:w="60" w:type="pct"/>
          <w:trHeight w:val="20"/>
          <w:jc w:val="center"/>
        </w:trPr>
        <w:tc>
          <w:tcPr>
            <w:tcW w:w="1071" w:type="pct"/>
            <w:vMerge/>
            <w:tcBorders>
              <w:bottom w:val="single" w:sz="4" w:space="0" w:color="auto"/>
            </w:tcBorders>
            <w:vAlign w:val="center"/>
            <w:hideMark/>
          </w:tcPr>
          <w:p w14:paraId="0773C646"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7F8A2B6A"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72B0865A"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HOMICIDIO</w:t>
            </w:r>
          </w:p>
        </w:tc>
        <w:tc>
          <w:tcPr>
            <w:tcW w:w="386" w:type="pct"/>
            <w:shd w:val="clear" w:color="auto" w:fill="auto"/>
            <w:noWrap/>
            <w:vAlign w:val="center"/>
            <w:hideMark/>
          </w:tcPr>
          <w:p w14:paraId="791F2CD8"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25,49</w:t>
            </w:r>
          </w:p>
        </w:tc>
        <w:tc>
          <w:tcPr>
            <w:tcW w:w="68" w:type="pct"/>
            <w:shd w:val="clear" w:color="000000" w:fill="FFFFFF"/>
            <w:noWrap/>
            <w:hideMark/>
          </w:tcPr>
          <w:p w14:paraId="3C0847F1"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21A9D35D" w14:textId="4B46A4A6"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20,02</w:t>
            </w:r>
          </w:p>
        </w:tc>
        <w:tc>
          <w:tcPr>
            <w:tcW w:w="273" w:type="pct"/>
            <w:tcBorders>
              <w:top w:val="nil"/>
              <w:left w:val="nil"/>
              <w:bottom w:val="nil"/>
              <w:right w:val="nil"/>
            </w:tcBorders>
            <w:shd w:val="clear" w:color="000000" w:fill="FF0000"/>
            <w:vAlign w:val="bottom"/>
          </w:tcPr>
          <w:p w14:paraId="2FC8D399" w14:textId="09E0639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37,57</w:t>
            </w:r>
          </w:p>
        </w:tc>
        <w:tc>
          <w:tcPr>
            <w:tcW w:w="709" w:type="pct"/>
            <w:tcBorders>
              <w:top w:val="nil"/>
              <w:left w:val="nil"/>
              <w:bottom w:val="nil"/>
              <w:right w:val="nil"/>
            </w:tcBorders>
            <w:shd w:val="clear" w:color="auto" w:fill="auto"/>
            <w:noWrap/>
            <w:vAlign w:val="center"/>
            <w:hideMark/>
          </w:tcPr>
          <w:p w14:paraId="24BCAA91" w14:textId="2832613B"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25,49 a 30,86</w:t>
            </w:r>
          </w:p>
        </w:tc>
        <w:tc>
          <w:tcPr>
            <w:tcW w:w="639" w:type="pct"/>
            <w:tcBorders>
              <w:top w:val="nil"/>
              <w:left w:val="nil"/>
              <w:bottom w:val="nil"/>
              <w:right w:val="nil"/>
            </w:tcBorders>
            <w:shd w:val="clear" w:color="000000" w:fill="FF0000"/>
            <w:noWrap/>
            <w:vAlign w:val="bottom"/>
          </w:tcPr>
          <w:p w14:paraId="74E8311F"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w:t>
            </w:r>
            <w:r w:rsidRPr="001072FC">
              <w:rPr>
                <w:rFonts w:cs="Tahoma"/>
                <w:color w:val="FFFFFF" w:themeColor="background1"/>
                <w:sz w:val="18"/>
                <w:szCs w:val="18"/>
              </w:rPr>
              <w:t xml:space="preserve">37,08 </w:t>
            </w:r>
          </w:p>
        </w:tc>
        <w:tc>
          <w:tcPr>
            <w:tcW w:w="760" w:type="pct"/>
            <w:tcBorders>
              <w:top w:val="nil"/>
              <w:left w:val="nil"/>
              <w:bottom w:val="nil"/>
              <w:right w:val="nil"/>
            </w:tcBorders>
            <w:shd w:val="clear" w:color="000000" w:fill="FF0000"/>
            <w:noWrap/>
            <w:vAlign w:val="center"/>
          </w:tcPr>
          <w:p w14:paraId="0AB1782A"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bajo</w:t>
            </w:r>
          </w:p>
        </w:tc>
      </w:tr>
      <w:tr w:rsidR="00522D1B" w:rsidRPr="0073029B" w14:paraId="74292A2A" w14:textId="77777777" w:rsidTr="00AE52E4">
        <w:trPr>
          <w:gridAfter w:val="2"/>
          <w:wAfter w:w="60" w:type="pct"/>
          <w:trHeight w:val="20"/>
          <w:jc w:val="center"/>
        </w:trPr>
        <w:tc>
          <w:tcPr>
            <w:tcW w:w="1071" w:type="pct"/>
            <w:vMerge/>
            <w:tcBorders>
              <w:bottom w:val="single" w:sz="4" w:space="0" w:color="auto"/>
            </w:tcBorders>
            <w:vAlign w:val="center"/>
            <w:hideMark/>
          </w:tcPr>
          <w:p w14:paraId="335C96DF"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0214A93B"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6DACE318"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HURTO</w:t>
            </w:r>
          </w:p>
        </w:tc>
        <w:tc>
          <w:tcPr>
            <w:tcW w:w="386" w:type="pct"/>
            <w:shd w:val="clear" w:color="auto" w:fill="auto"/>
            <w:noWrap/>
            <w:vAlign w:val="center"/>
            <w:hideMark/>
          </w:tcPr>
          <w:p w14:paraId="1C910570"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305,04</w:t>
            </w:r>
          </w:p>
        </w:tc>
        <w:tc>
          <w:tcPr>
            <w:tcW w:w="68" w:type="pct"/>
            <w:shd w:val="clear" w:color="000000" w:fill="FFFFFF"/>
            <w:noWrap/>
            <w:hideMark/>
          </w:tcPr>
          <w:p w14:paraId="028A4B85" w14:textId="77777777" w:rsidR="003D5273" w:rsidRPr="0073029B" w:rsidRDefault="003D5273" w:rsidP="003D5273">
            <w:pPr>
              <w:spacing w:after="0" w:line="240" w:lineRule="auto"/>
              <w:jc w:val="right"/>
              <w:rPr>
                <w:rFonts w:cs="Tahoma"/>
                <w:color w:val="833C0C"/>
                <w:sz w:val="18"/>
                <w:szCs w:val="18"/>
              </w:rPr>
            </w:pPr>
            <w:r w:rsidRPr="0073029B">
              <w:rPr>
                <w:rFonts w:cs="Tahoma"/>
                <w:color w:val="833C0C"/>
                <w:sz w:val="18"/>
                <w:szCs w:val="18"/>
              </w:rPr>
              <w:t> </w:t>
            </w:r>
          </w:p>
        </w:tc>
        <w:tc>
          <w:tcPr>
            <w:tcW w:w="318" w:type="pct"/>
            <w:tcBorders>
              <w:top w:val="nil"/>
              <w:left w:val="nil"/>
              <w:bottom w:val="nil"/>
              <w:right w:val="nil"/>
            </w:tcBorders>
            <w:shd w:val="clear" w:color="000000" w:fill="FF0000"/>
            <w:vAlign w:val="bottom"/>
          </w:tcPr>
          <w:p w14:paraId="099DF5F0" w14:textId="70275D6D"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325,17</w:t>
            </w:r>
          </w:p>
        </w:tc>
        <w:tc>
          <w:tcPr>
            <w:tcW w:w="273" w:type="pct"/>
            <w:tcBorders>
              <w:top w:val="nil"/>
              <w:left w:val="nil"/>
              <w:bottom w:val="nil"/>
              <w:right w:val="nil"/>
            </w:tcBorders>
            <w:shd w:val="clear" w:color="auto" w:fill="auto"/>
            <w:vAlign w:val="bottom"/>
          </w:tcPr>
          <w:p w14:paraId="3F51807C" w14:textId="0058F05F"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209,77</w:t>
            </w:r>
          </w:p>
        </w:tc>
        <w:tc>
          <w:tcPr>
            <w:tcW w:w="709" w:type="pct"/>
            <w:tcBorders>
              <w:top w:val="nil"/>
              <w:left w:val="nil"/>
              <w:bottom w:val="nil"/>
              <w:right w:val="nil"/>
            </w:tcBorders>
            <w:shd w:val="clear" w:color="auto" w:fill="auto"/>
            <w:noWrap/>
            <w:vAlign w:val="center"/>
            <w:hideMark/>
          </w:tcPr>
          <w:p w14:paraId="0E7FD8C7" w14:textId="54D30AC8"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255,15 a 305,04</w:t>
            </w:r>
          </w:p>
        </w:tc>
        <w:tc>
          <w:tcPr>
            <w:tcW w:w="639" w:type="pct"/>
            <w:tcBorders>
              <w:top w:val="nil"/>
              <w:left w:val="nil"/>
              <w:bottom w:val="nil"/>
              <w:right w:val="nil"/>
            </w:tcBorders>
            <w:shd w:val="clear" w:color="auto" w:fill="auto"/>
            <w:noWrap/>
            <w:vAlign w:val="bottom"/>
          </w:tcPr>
          <w:p w14:paraId="59AC0B42"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215,44 </w:t>
            </w:r>
          </w:p>
        </w:tc>
        <w:tc>
          <w:tcPr>
            <w:tcW w:w="760" w:type="pct"/>
            <w:tcBorders>
              <w:top w:val="nil"/>
              <w:left w:val="nil"/>
              <w:bottom w:val="nil"/>
              <w:right w:val="nil"/>
            </w:tcBorders>
            <w:shd w:val="clear" w:color="000000" w:fill="70AD47"/>
            <w:noWrap/>
            <w:vAlign w:val="center"/>
          </w:tcPr>
          <w:p w14:paraId="3838BFF7"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03B766BF" w14:textId="77777777" w:rsidTr="00AE52E4">
        <w:trPr>
          <w:gridAfter w:val="2"/>
          <w:wAfter w:w="60" w:type="pct"/>
          <w:trHeight w:val="20"/>
          <w:jc w:val="center"/>
        </w:trPr>
        <w:tc>
          <w:tcPr>
            <w:tcW w:w="1071" w:type="pct"/>
            <w:vMerge/>
            <w:tcBorders>
              <w:bottom w:val="single" w:sz="4" w:space="0" w:color="auto"/>
            </w:tcBorders>
            <w:vAlign w:val="center"/>
            <w:hideMark/>
          </w:tcPr>
          <w:p w14:paraId="6A437961"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39945C46"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0BA4C1B3"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w:t>
            </w:r>
          </w:p>
        </w:tc>
        <w:tc>
          <w:tcPr>
            <w:tcW w:w="386" w:type="pct"/>
            <w:shd w:val="clear" w:color="auto" w:fill="auto"/>
            <w:noWrap/>
            <w:vAlign w:val="center"/>
            <w:hideMark/>
          </w:tcPr>
          <w:p w14:paraId="4AA7A274"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301,52</w:t>
            </w:r>
          </w:p>
        </w:tc>
        <w:tc>
          <w:tcPr>
            <w:tcW w:w="68" w:type="pct"/>
            <w:shd w:val="clear" w:color="000000" w:fill="FFFFFF"/>
            <w:noWrap/>
            <w:hideMark/>
          </w:tcPr>
          <w:p w14:paraId="1C101F59"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55354B23" w14:textId="313818BB"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220,64</w:t>
            </w:r>
          </w:p>
        </w:tc>
        <w:tc>
          <w:tcPr>
            <w:tcW w:w="273" w:type="pct"/>
            <w:tcBorders>
              <w:top w:val="nil"/>
              <w:left w:val="nil"/>
              <w:bottom w:val="nil"/>
              <w:right w:val="nil"/>
            </w:tcBorders>
            <w:shd w:val="clear" w:color="auto" w:fill="auto"/>
            <w:vAlign w:val="bottom"/>
          </w:tcPr>
          <w:p w14:paraId="739A1E6B" w14:textId="6F0A2A8D"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197,25</w:t>
            </w:r>
          </w:p>
        </w:tc>
        <w:tc>
          <w:tcPr>
            <w:tcW w:w="709" w:type="pct"/>
            <w:tcBorders>
              <w:top w:val="nil"/>
              <w:left w:val="nil"/>
              <w:bottom w:val="nil"/>
              <w:right w:val="nil"/>
            </w:tcBorders>
            <w:shd w:val="clear" w:color="auto" w:fill="auto"/>
            <w:noWrap/>
            <w:vAlign w:val="center"/>
            <w:hideMark/>
          </w:tcPr>
          <w:p w14:paraId="318F5FB1" w14:textId="3E26DA86"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279,88 a 301,52</w:t>
            </w:r>
          </w:p>
        </w:tc>
        <w:tc>
          <w:tcPr>
            <w:tcW w:w="639" w:type="pct"/>
            <w:tcBorders>
              <w:top w:val="nil"/>
              <w:left w:val="nil"/>
              <w:bottom w:val="nil"/>
              <w:right w:val="nil"/>
            </w:tcBorders>
            <w:shd w:val="clear" w:color="auto" w:fill="auto"/>
            <w:noWrap/>
            <w:vAlign w:val="bottom"/>
          </w:tcPr>
          <w:p w14:paraId="6456D247"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170,91 </w:t>
            </w:r>
          </w:p>
        </w:tc>
        <w:tc>
          <w:tcPr>
            <w:tcW w:w="760" w:type="pct"/>
            <w:tcBorders>
              <w:top w:val="nil"/>
              <w:left w:val="nil"/>
              <w:bottom w:val="nil"/>
              <w:right w:val="nil"/>
            </w:tcBorders>
            <w:shd w:val="clear" w:color="000000" w:fill="70AD47"/>
            <w:noWrap/>
            <w:vAlign w:val="center"/>
          </w:tcPr>
          <w:p w14:paraId="71CDEAD8"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2CFE5B2B" w14:textId="77777777" w:rsidTr="00AE52E4">
        <w:trPr>
          <w:gridAfter w:val="2"/>
          <w:wAfter w:w="60" w:type="pct"/>
          <w:trHeight w:val="20"/>
          <w:jc w:val="center"/>
        </w:trPr>
        <w:tc>
          <w:tcPr>
            <w:tcW w:w="1071" w:type="pct"/>
            <w:vMerge/>
            <w:tcBorders>
              <w:bottom w:val="single" w:sz="4" w:space="0" w:color="auto"/>
            </w:tcBorders>
            <w:vAlign w:val="center"/>
            <w:hideMark/>
          </w:tcPr>
          <w:p w14:paraId="2DED4DAF"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03C9F112"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7531DF61"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 DE VEHICULO</w:t>
            </w:r>
          </w:p>
        </w:tc>
        <w:tc>
          <w:tcPr>
            <w:tcW w:w="386" w:type="pct"/>
            <w:shd w:val="clear" w:color="auto" w:fill="auto"/>
            <w:noWrap/>
            <w:vAlign w:val="center"/>
            <w:hideMark/>
          </w:tcPr>
          <w:p w14:paraId="15539403"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114,50</w:t>
            </w:r>
          </w:p>
        </w:tc>
        <w:tc>
          <w:tcPr>
            <w:tcW w:w="68" w:type="pct"/>
            <w:shd w:val="clear" w:color="000000" w:fill="FFFFFF"/>
            <w:noWrap/>
            <w:hideMark/>
          </w:tcPr>
          <w:p w14:paraId="4261EFA9"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4ABF1172" w14:textId="50199AC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96,10</w:t>
            </w:r>
          </w:p>
        </w:tc>
        <w:tc>
          <w:tcPr>
            <w:tcW w:w="273" w:type="pct"/>
            <w:tcBorders>
              <w:top w:val="nil"/>
              <w:left w:val="nil"/>
              <w:bottom w:val="nil"/>
              <w:right w:val="nil"/>
            </w:tcBorders>
            <w:shd w:val="clear" w:color="auto" w:fill="auto"/>
            <w:vAlign w:val="bottom"/>
          </w:tcPr>
          <w:p w14:paraId="7CAC08BB" w14:textId="740F4C58"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96,02</w:t>
            </w:r>
          </w:p>
        </w:tc>
        <w:tc>
          <w:tcPr>
            <w:tcW w:w="709" w:type="pct"/>
            <w:tcBorders>
              <w:top w:val="nil"/>
              <w:left w:val="nil"/>
              <w:right w:val="nil"/>
            </w:tcBorders>
            <w:shd w:val="clear" w:color="auto" w:fill="auto"/>
            <w:noWrap/>
            <w:vAlign w:val="center"/>
            <w:hideMark/>
          </w:tcPr>
          <w:p w14:paraId="4234058E" w14:textId="16F629BD"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114,5 a 120,74</w:t>
            </w:r>
          </w:p>
        </w:tc>
        <w:tc>
          <w:tcPr>
            <w:tcW w:w="639" w:type="pct"/>
            <w:tcBorders>
              <w:top w:val="nil"/>
              <w:left w:val="nil"/>
              <w:right w:val="nil"/>
            </w:tcBorders>
            <w:shd w:val="clear" w:color="auto" w:fill="auto"/>
            <w:noWrap/>
            <w:vAlign w:val="bottom"/>
          </w:tcPr>
          <w:p w14:paraId="60C5E649"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110,79 </w:t>
            </w:r>
          </w:p>
        </w:tc>
        <w:tc>
          <w:tcPr>
            <w:tcW w:w="760" w:type="pct"/>
            <w:tcBorders>
              <w:top w:val="nil"/>
              <w:left w:val="nil"/>
              <w:right w:val="nil"/>
            </w:tcBorders>
            <w:shd w:val="clear" w:color="000000" w:fill="70AD47"/>
            <w:noWrap/>
            <w:vAlign w:val="center"/>
          </w:tcPr>
          <w:p w14:paraId="23206639"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0E230614" w14:textId="77777777" w:rsidTr="00AE52E4">
        <w:trPr>
          <w:gridAfter w:val="2"/>
          <w:wAfter w:w="60" w:type="pct"/>
          <w:trHeight w:val="20"/>
          <w:jc w:val="center"/>
        </w:trPr>
        <w:tc>
          <w:tcPr>
            <w:tcW w:w="1071" w:type="pct"/>
            <w:vMerge/>
            <w:tcBorders>
              <w:bottom w:val="single" w:sz="4" w:space="0" w:color="auto"/>
            </w:tcBorders>
            <w:vAlign w:val="center"/>
            <w:hideMark/>
          </w:tcPr>
          <w:p w14:paraId="34FC5EE2"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50D0CAE8"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bottom w:val="single" w:sz="4" w:space="0" w:color="auto"/>
            </w:tcBorders>
            <w:shd w:val="clear" w:color="auto" w:fill="auto"/>
            <w:noWrap/>
            <w:vAlign w:val="center"/>
            <w:hideMark/>
          </w:tcPr>
          <w:p w14:paraId="75051912"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TACHA DE VEHICULO</w:t>
            </w:r>
          </w:p>
        </w:tc>
        <w:tc>
          <w:tcPr>
            <w:tcW w:w="386" w:type="pct"/>
            <w:tcBorders>
              <w:bottom w:val="single" w:sz="4" w:space="0" w:color="auto"/>
            </w:tcBorders>
            <w:shd w:val="clear" w:color="auto" w:fill="auto"/>
            <w:noWrap/>
            <w:vAlign w:val="center"/>
            <w:hideMark/>
          </w:tcPr>
          <w:p w14:paraId="5F9FABDE"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53,62</w:t>
            </w:r>
          </w:p>
        </w:tc>
        <w:tc>
          <w:tcPr>
            <w:tcW w:w="68" w:type="pct"/>
            <w:shd w:val="clear" w:color="000000" w:fill="FFFFFF"/>
            <w:noWrap/>
            <w:hideMark/>
          </w:tcPr>
          <w:p w14:paraId="0B9145E2"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single" w:sz="4" w:space="0" w:color="auto"/>
              <w:right w:val="nil"/>
            </w:tcBorders>
            <w:shd w:val="clear" w:color="auto" w:fill="auto"/>
            <w:vAlign w:val="bottom"/>
          </w:tcPr>
          <w:p w14:paraId="61421DE2" w14:textId="0153536F"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55,42</w:t>
            </w:r>
          </w:p>
        </w:tc>
        <w:tc>
          <w:tcPr>
            <w:tcW w:w="273" w:type="pct"/>
            <w:tcBorders>
              <w:top w:val="nil"/>
              <w:left w:val="nil"/>
              <w:bottom w:val="single" w:sz="4" w:space="0" w:color="auto"/>
              <w:right w:val="nil"/>
            </w:tcBorders>
            <w:shd w:val="clear" w:color="auto" w:fill="auto"/>
            <w:vAlign w:val="bottom"/>
          </w:tcPr>
          <w:p w14:paraId="7A9FF3C9" w14:textId="09F0D491"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30,89</w:t>
            </w:r>
          </w:p>
        </w:tc>
        <w:tc>
          <w:tcPr>
            <w:tcW w:w="709" w:type="pct"/>
            <w:tcBorders>
              <w:top w:val="nil"/>
              <w:left w:val="nil"/>
              <w:bottom w:val="single" w:sz="4" w:space="0" w:color="auto"/>
              <w:right w:val="nil"/>
            </w:tcBorders>
            <w:shd w:val="clear" w:color="auto" w:fill="auto"/>
            <w:noWrap/>
            <w:vAlign w:val="center"/>
            <w:hideMark/>
          </w:tcPr>
          <w:p w14:paraId="5F32A799" w14:textId="1DD7CB53"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53,62 a 58,39</w:t>
            </w:r>
          </w:p>
        </w:tc>
        <w:tc>
          <w:tcPr>
            <w:tcW w:w="639" w:type="pct"/>
            <w:tcBorders>
              <w:top w:val="nil"/>
              <w:left w:val="nil"/>
              <w:bottom w:val="single" w:sz="4" w:space="0" w:color="auto"/>
              <w:right w:val="nil"/>
            </w:tcBorders>
            <w:shd w:val="clear" w:color="auto" w:fill="auto"/>
            <w:noWrap/>
            <w:vAlign w:val="bottom"/>
          </w:tcPr>
          <w:p w14:paraId="355470C6"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32,03 </w:t>
            </w:r>
          </w:p>
        </w:tc>
        <w:tc>
          <w:tcPr>
            <w:tcW w:w="760" w:type="pct"/>
            <w:tcBorders>
              <w:top w:val="nil"/>
              <w:left w:val="nil"/>
              <w:bottom w:val="single" w:sz="4" w:space="0" w:color="auto"/>
              <w:right w:val="nil"/>
            </w:tcBorders>
            <w:shd w:val="clear" w:color="000000" w:fill="70AD47"/>
            <w:noWrap/>
            <w:vAlign w:val="center"/>
          </w:tcPr>
          <w:p w14:paraId="03772DC1"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ED6AE3" w:rsidRPr="0073029B" w14:paraId="4C7AF414" w14:textId="77777777" w:rsidTr="00AE52E4">
        <w:trPr>
          <w:gridAfter w:val="2"/>
          <w:wAfter w:w="60" w:type="pct"/>
          <w:trHeight w:val="20"/>
          <w:jc w:val="center"/>
        </w:trPr>
        <w:tc>
          <w:tcPr>
            <w:tcW w:w="1071" w:type="pct"/>
            <w:vMerge/>
            <w:tcBorders>
              <w:bottom w:val="single" w:sz="4" w:space="0" w:color="auto"/>
            </w:tcBorders>
            <w:vAlign w:val="center"/>
            <w:hideMark/>
          </w:tcPr>
          <w:p w14:paraId="70ACF33F"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35FCAAC1"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top w:val="single" w:sz="4" w:space="0" w:color="auto"/>
            </w:tcBorders>
            <w:shd w:val="clear" w:color="000000" w:fill="C6E0B4"/>
            <w:noWrap/>
            <w:vAlign w:val="center"/>
            <w:hideMark/>
          </w:tcPr>
          <w:p w14:paraId="392F731F"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Huetar Norte</w:t>
            </w:r>
          </w:p>
        </w:tc>
        <w:tc>
          <w:tcPr>
            <w:tcW w:w="386" w:type="pct"/>
            <w:tcBorders>
              <w:top w:val="single" w:sz="4" w:space="0" w:color="auto"/>
            </w:tcBorders>
            <w:shd w:val="clear" w:color="000000" w:fill="C6E0B4"/>
            <w:noWrap/>
            <w:vAlign w:val="center"/>
            <w:hideMark/>
          </w:tcPr>
          <w:p w14:paraId="6C605143"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907,14</w:t>
            </w:r>
          </w:p>
        </w:tc>
        <w:tc>
          <w:tcPr>
            <w:tcW w:w="68" w:type="pct"/>
            <w:shd w:val="clear" w:color="000000" w:fill="FFFFFF"/>
            <w:noWrap/>
            <w:hideMark/>
          </w:tcPr>
          <w:p w14:paraId="461A71D9"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single" w:sz="4" w:space="0" w:color="auto"/>
              <w:left w:val="nil"/>
              <w:bottom w:val="nil"/>
              <w:right w:val="nil"/>
            </w:tcBorders>
            <w:shd w:val="clear" w:color="000000" w:fill="C6E0B4"/>
            <w:vAlign w:val="bottom"/>
          </w:tcPr>
          <w:p w14:paraId="12D382AB" w14:textId="74B470F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642,90</w:t>
            </w:r>
          </w:p>
        </w:tc>
        <w:tc>
          <w:tcPr>
            <w:tcW w:w="273" w:type="pct"/>
            <w:tcBorders>
              <w:top w:val="single" w:sz="4" w:space="0" w:color="auto"/>
              <w:left w:val="nil"/>
              <w:bottom w:val="nil"/>
              <w:right w:val="nil"/>
            </w:tcBorders>
            <w:shd w:val="clear" w:color="000000" w:fill="C6E0B4"/>
            <w:vAlign w:val="bottom"/>
          </w:tcPr>
          <w:p w14:paraId="29D22C88" w14:textId="7717773E"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564,34</w:t>
            </w:r>
          </w:p>
        </w:tc>
        <w:tc>
          <w:tcPr>
            <w:tcW w:w="709" w:type="pct"/>
            <w:tcBorders>
              <w:top w:val="single" w:sz="4" w:space="0" w:color="auto"/>
              <w:left w:val="nil"/>
              <w:bottom w:val="nil"/>
              <w:right w:val="nil"/>
            </w:tcBorders>
            <w:shd w:val="clear" w:color="000000" w:fill="C6E0B4"/>
            <w:noWrap/>
            <w:vAlign w:val="center"/>
            <w:hideMark/>
          </w:tcPr>
          <w:p w14:paraId="7F8E6B11" w14:textId="6E540F0C"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764,03 a 907,14</w:t>
            </w:r>
          </w:p>
        </w:tc>
        <w:tc>
          <w:tcPr>
            <w:tcW w:w="639" w:type="pct"/>
            <w:tcBorders>
              <w:top w:val="single" w:sz="4" w:space="0" w:color="auto"/>
              <w:left w:val="nil"/>
              <w:bottom w:val="nil"/>
              <w:right w:val="nil"/>
            </w:tcBorders>
            <w:shd w:val="clear" w:color="000000" w:fill="C6E0B4"/>
            <w:noWrap/>
            <w:vAlign w:val="bottom"/>
          </w:tcPr>
          <w:p w14:paraId="15AE7832"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475,39 </w:t>
            </w:r>
          </w:p>
        </w:tc>
        <w:tc>
          <w:tcPr>
            <w:tcW w:w="760" w:type="pct"/>
            <w:tcBorders>
              <w:top w:val="single" w:sz="4" w:space="0" w:color="auto"/>
              <w:left w:val="nil"/>
              <w:bottom w:val="nil"/>
              <w:right w:val="nil"/>
            </w:tcBorders>
            <w:shd w:val="clear" w:color="000000" w:fill="70AD47"/>
            <w:noWrap/>
            <w:vAlign w:val="center"/>
          </w:tcPr>
          <w:p w14:paraId="6145C3F2"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52CB3EA2" w14:textId="77777777" w:rsidTr="00AE52E4">
        <w:trPr>
          <w:gridAfter w:val="2"/>
          <w:wAfter w:w="60" w:type="pct"/>
          <w:trHeight w:val="20"/>
          <w:jc w:val="center"/>
        </w:trPr>
        <w:tc>
          <w:tcPr>
            <w:tcW w:w="1071" w:type="pct"/>
            <w:vMerge/>
            <w:tcBorders>
              <w:bottom w:val="single" w:sz="4" w:space="0" w:color="auto"/>
            </w:tcBorders>
            <w:vAlign w:val="center"/>
            <w:hideMark/>
          </w:tcPr>
          <w:p w14:paraId="23F282F3"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29967C65"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0D2EF98C"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ASALTO</w:t>
            </w:r>
          </w:p>
        </w:tc>
        <w:tc>
          <w:tcPr>
            <w:tcW w:w="386" w:type="pct"/>
            <w:shd w:val="clear" w:color="auto" w:fill="auto"/>
            <w:noWrap/>
            <w:vAlign w:val="center"/>
            <w:hideMark/>
          </w:tcPr>
          <w:p w14:paraId="5E2834F1"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140,58</w:t>
            </w:r>
          </w:p>
        </w:tc>
        <w:tc>
          <w:tcPr>
            <w:tcW w:w="68" w:type="pct"/>
            <w:shd w:val="clear" w:color="000000" w:fill="FFFFFF"/>
            <w:noWrap/>
            <w:hideMark/>
          </w:tcPr>
          <w:p w14:paraId="4783ED86"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000000" w:fill="FF0000"/>
            <w:vAlign w:val="bottom"/>
          </w:tcPr>
          <w:p w14:paraId="370AB02E" w14:textId="495E6A94"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152,96</w:t>
            </w:r>
          </w:p>
        </w:tc>
        <w:tc>
          <w:tcPr>
            <w:tcW w:w="273" w:type="pct"/>
            <w:tcBorders>
              <w:top w:val="nil"/>
              <w:left w:val="nil"/>
              <w:bottom w:val="nil"/>
              <w:right w:val="nil"/>
            </w:tcBorders>
            <w:shd w:val="clear" w:color="auto" w:fill="auto"/>
            <w:vAlign w:val="bottom"/>
          </w:tcPr>
          <w:p w14:paraId="0643C3BE" w14:textId="5A468B0B"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73,92</w:t>
            </w:r>
          </w:p>
        </w:tc>
        <w:tc>
          <w:tcPr>
            <w:tcW w:w="709" w:type="pct"/>
            <w:tcBorders>
              <w:top w:val="nil"/>
              <w:left w:val="nil"/>
              <w:bottom w:val="nil"/>
              <w:right w:val="nil"/>
            </w:tcBorders>
            <w:shd w:val="clear" w:color="auto" w:fill="auto"/>
            <w:noWrap/>
            <w:vAlign w:val="center"/>
            <w:hideMark/>
          </w:tcPr>
          <w:p w14:paraId="2B3BFDB4" w14:textId="352FCFCD"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125,51 a 140,58</w:t>
            </w:r>
          </w:p>
        </w:tc>
        <w:tc>
          <w:tcPr>
            <w:tcW w:w="639" w:type="pct"/>
            <w:tcBorders>
              <w:top w:val="nil"/>
              <w:left w:val="nil"/>
              <w:bottom w:val="nil"/>
              <w:right w:val="nil"/>
            </w:tcBorders>
            <w:shd w:val="clear" w:color="auto" w:fill="auto"/>
            <w:noWrap/>
            <w:vAlign w:val="bottom"/>
          </w:tcPr>
          <w:p w14:paraId="3780BBEE"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62,51 </w:t>
            </w:r>
          </w:p>
        </w:tc>
        <w:tc>
          <w:tcPr>
            <w:tcW w:w="760" w:type="pct"/>
            <w:tcBorders>
              <w:top w:val="nil"/>
              <w:left w:val="nil"/>
              <w:bottom w:val="nil"/>
              <w:right w:val="nil"/>
            </w:tcBorders>
            <w:shd w:val="clear" w:color="000000" w:fill="70AD47"/>
            <w:noWrap/>
            <w:vAlign w:val="center"/>
          </w:tcPr>
          <w:p w14:paraId="60B6759F"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76DA739B" w14:textId="77777777" w:rsidTr="00AE52E4">
        <w:trPr>
          <w:gridAfter w:val="2"/>
          <w:wAfter w:w="60" w:type="pct"/>
          <w:trHeight w:val="20"/>
          <w:jc w:val="center"/>
        </w:trPr>
        <w:tc>
          <w:tcPr>
            <w:tcW w:w="1071" w:type="pct"/>
            <w:vMerge/>
            <w:tcBorders>
              <w:bottom w:val="single" w:sz="4" w:space="0" w:color="auto"/>
            </w:tcBorders>
            <w:vAlign w:val="center"/>
            <w:hideMark/>
          </w:tcPr>
          <w:p w14:paraId="5A2EBFF1"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4E865A64"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13468001"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HOMICIDIO</w:t>
            </w:r>
          </w:p>
        </w:tc>
        <w:tc>
          <w:tcPr>
            <w:tcW w:w="386" w:type="pct"/>
            <w:shd w:val="clear" w:color="auto" w:fill="auto"/>
            <w:noWrap/>
            <w:vAlign w:val="center"/>
            <w:hideMark/>
          </w:tcPr>
          <w:p w14:paraId="12A95964"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8,68</w:t>
            </w:r>
          </w:p>
        </w:tc>
        <w:tc>
          <w:tcPr>
            <w:tcW w:w="68" w:type="pct"/>
            <w:shd w:val="clear" w:color="000000" w:fill="FFFFFF"/>
            <w:noWrap/>
            <w:hideMark/>
          </w:tcPr>
          <w:p w14:paraId="05D71F8F"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000000" w:fill="FF0000"/>
            <w:vAlign w:val="bottom"/>
          </w:tcPr>
          <w:p w14:paraId="2C01D46E" w14:textId="462B93A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13,72</w:t>
            </w:r>
          </w:p>
        </w:tc>
        <w:tc>
          <w:tcPr>
            <w:tcW w:w="273" w:type="pct"/>
            <w:tcBorders>
              <w:top w:val="nil"/>
              <w:left w:val="nil"/>
              <w:bottom w:val="nil"/>
              <w:right w:val="nil"/>
            </w:tcBorders>
            <w:shd w:val="clear" w:color="000000" w:fill="FF0000"/>
            <w:vAlign w:val="bottom"/>
          </w:tcPr>
          <w:p w14:paraId="48D9EA43" w14:textId="5F51193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9,29</w:t>
            </w:r>
          </w:p>
        </w:tc>
        <w:tc>
          <w:tcPr>
            <w:tcW w:w="709" w:type="pct"/>
            <w:tcBorders>
              <w:top w:val="nil"/>
              <w:left w:val="nil"/>
              <w:bottom w:val="nil"/>
              <w:right w:val="nil"/>
            </w:tcBorders>
            <w:shd w:val="clear" w:color="auto" w:fill="auto"/>
            <w:noWrap/>
            <w:vAlign w:val="center"/>
            <w:hideMark/>
          </w:tcPr>
          <w:p w14:paraId="28E25657" w14:textId="035401E9"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8,68 a 8,94</w:t>
            </w:r>
          </w:p>
        </w:tc>
        <w:tc>
          <w:tcPr>
            <w:tcW w:w="639" w:type="pct"/>
            <w:tcBorders>
              <w:top w:val="nil"/>
              <w:left w:val="nil"/>
              <w:bottom w:val="nil"/>
              <w:right w:val="nil"/>
            </w:tcBorders>
            <w:shd w:val="clear" w:color="auto" w:fill="auto"/>
            <w:noWrap/>
            <w:vAlign w:val="bottom"/>
          </w:tcPr>
          <w:p w14:paraId="0E171396"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8,31 </w:t>
            </w:r>
          </w:p>
        </w:tc>
        <w:tc>
          <w:tcPr>
            <w:tcW w:w="760" w:type="pct"/>
            <w:tcBorders>
              <w:top w:val="nil"/>
              <w:left w:val="nil"/>
              <w:bottom w:val="nil"/>
              <w:right w:val="nil"/>
            </w:tcBorders>
            <w:shd w:val="clear" w:color="000000" w:fill="70AD47"/>
            <w:noWrap/>
            <w:vAlign w:val="center"/>
          </w:tcPr>
          <w:p w14:paraId="26571C03"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2A6CA80F" w14:textId="77777777" w:rsidTr="00AE52E4">
        <w:trPr>
          <w:gridAfter w:val="2"/>
          <w:wAfter w:w="60" w:type="pct"/>
          <w:trHeight w:val="20"/>
          <w:jc w:val="center"/>
        </w:trPr>
        <w:tc>
          <w:tcPr>
            <w:tcW w:w="1071" w:type="pct"/>
            <w:vMerge/>
            <w:tcBorders>
              <w:bottom w:val="single" w:sz="4" w:space="0" w:color="auto"/>
            </w:tcBorders>
            <w:vAlign w:val="center"/>
            <w:hideMark/>
          </w:tcPr>
          <w:p w14:paraId="3591FD51"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3CAFD794"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40EE29B9"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HURTO</w:t>
            </w:r>
          </w:p>
        </w:tc>
        <w:tc>
          <w:tcPr>
            <w:tcW w:w="386" w:type="pct"/>
            <w:shd w:val="clear" w:color="auto" w:fill="auto"/>
            <w:noWrap/>
            <w:vAlign w:val="center"/>
            <w:hideMark/>
          </w:tcPr>
          <w:p w14:paraId="0BC379B3"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292,73</w:t>
            </w:r>
          </w:p>
        </w:tc>
        <w:tc>
          <w:tcPr>
            <w:tcW w:w="68" w:type="pct"/>
            <w:shd w:val="clear" w:color="000000" w:fill="FFFFFF"/>
            <w:noWrap/>
            <w:hideMark/>
          </w:tcPr>
          <w:p w14:paraId="6520732F"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3EDB4D0C" w14:textId="10CBFFA7"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203,58</w:t>
            </w:r>
          </w:p>
        </w:tc>
        <w:tc>
          <w:tcPr>
            <w:tcW w:w="273" w:type="pct"/>
            <w:tcBorders>
              <w:top w:val="nil"/>
              <w:left w:val="nil"/>
              <w:bottom w:val="nil"/>
              <w:right w:val="nil"/>
            </w:tcBorders>
            <w:shd w:val="clear" w:color="auto" w:fill="auto"/>
            <w:vAlign w:val="bottom"/>
          </w:tcPr>
          <w:p w14:paraId="14CA5E4B" w14:textId="4540FBE4"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193,20</w:t>
            </w:r>
          </w:p>
        </w:tc>
        <w:tc>
          <w:tcPr>
            <w:tcW w:w="709" w:type="pct"/>
            <w:tcBorders>
              <w:top w:val="nil"/>
              <w:left w:val="nil"/>
              <w:bottom w:val="nil"/>
              <w:right w:val="nil"/>
            </w:tcBorders>
            <w:shd w:val="clear" w:color="auto" w:fill="auto"/>
            <w:noWrap/>
            <w:vAlign w:val="center"/>
            <w:hideMark/>
          </w:tcPr>
          <w:p w14:paraId="28EFC3E4" w14:textId="1A8C55F5"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207,7 a 292,73</w:t>
            </w:r>
          </w:p>
        </w:tc>
        <w:tc>
          <w:tcPr>
            <w:tcW w:w="639" w:type="pct"/>
            <w:tcBorders>
              <w:top w:val="nil"/>
              <w:left w:val="nil"/>
              <w:bottom w:val="nil"/>
              <w:right w:val="nil"/>
            </w:tcBorders>
            <w:shd w:val="clear" w:color="auto" w:fill="auto"/>
            <w:noWrap/>
            <w:vAlign w:val="bottom"/>
          </w:tcPr>
          <w:p w14:paraId="113AD84C"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177,04 </w:t>
            </w:r>
          </w:p>
        </w:tc>
        <w:tc>
          <w:tcPr>
            <w:tcW w:w="760" w:type="pct"/>
            <w:tcBorders>
              <w:top w:val="nil"/>
              <w:left w:val="nil"/>
              <w:bottom w:val="nil"/>
              <w:right w:val="nil"/>
            </w:tcBorders>
            <w:shd w:val="clear" w:color="000000" w:fill="70AD47"/>
            <w:noWrap/>
            <w:vAlign w:val="center"/>
          </w:tcPr>
          <w:p w14:paraId="1988A69E"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2B15C2E3" w14:textId="77777777" w:rsidTr="00AE52E4">
        <w:trPr>
          <w:gridAfter w:val="2"/>
          <w:wAfter w:w="60" w:type="pct"/>
          <w:trHeight w:val="20"/>
          <w:jc w:val="center"/>
        </w:trPr>
        <w:tc>
          <w:tcPr>
            <w:tcW w:w="1071" w:type="pct"/>
            <w:vMerge/>
            <w:tcBorders>
              <w:bottom w:val="single" w:sz="4" w:space="0" w:color="auto"/>
            </w:tcBorders>
            <w:vAlign w:val="center"/>
            <w:hideMark/>
          </w:tcPr>
          <w:p w14:paraId="257804D1"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085D96B4"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096B2387"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w:t>
            </w:r>
          </w:p>
        </w:tc>
        <w:tc>
          <w:tcPr>
            <w:tcW w:w="386" w:type="pct"/>
            <w:shd w:val="clear" w:color="auto" w:fill="auto"/>
            <w:noWrap/>
            <w:vAlign w:val="center"/>
            <w:hideMark/>
          </w:tcPr>
          <w:p w14:paraId="6E3EA4FE"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317,57</w:t>
            </w:r>
          </w:p>
        </w:tc>
        <w:tc>
          <w:tcPr>
            <w:tcW w:w="68" w:type="pct"/>
            <w:shd w:val="clear" w:color="000000" w:fill="FFFFFF"/>
            <w:noWrap/>
            <w:hideMark/>
          </w:tcPr>
          <w:p w14:paraId="744C91E4"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7191B94A" w14:textId="7D1B73EB"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159,04</w:t>
            </w:r>
          </w:p>
        </w:tc>
        <w:tc>
          <w:tcPr>
            <w:tcW w:w="273" w:type="pct"/>
            <w:tcBorders>
              <w:top w:val="nil"/>
              <w:left w:val="nil"/>
              <w:bottom w:val="nil"/>
              <w:right w:val="nil"/>
            </w:tcBorders>
            <w:shd w:val="clear" w:color="auto" w:fill="auto"/>
            <w:vAlign w:val="bottom"/>
          </w:tcPr>
          <w:p w14:paraId="26F1C2FC" w14:textId="690C3A69"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181,92</w:t>
            </w:r>
          </w:p>
        </w:tc>
        <w:tc>
          <w:tcPr>
            <w:tcW w:w="709" w:type="pct"/>
            <w:tcBorders>
              <w:top w:val="nil"/>
              <w:left w:val="nil"/>
              <w:bottom w:val="nil"/>
              <w:right w:val="nil"/>
            </w:tcBorders>
            <w:shd w:val="clear" w:color="auto" w:fill="auto"/>
            <w:noWrap/>
            <w:vAlign w:val="center"/>
            <w:hideMark/>
          </w:tcPr>
          <w:p w14:paraId="3885CE24" w14:textId="3DBD6C55"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251,6 a 317,57</w:t>
            </w:r>
          </w:p>
        </w:tc>
        <w:tc>
          <w:tcPr>
            <w:tcW w:w="639" w:type="pct"/>
            <w:tcBorders>
              <w:top w:val="nil"/>
              <w:left w:val="nil"/>
              <w:bottom w:val="nil"/>
              <w:right w:val="nil"/>
            </w:tcBorders>
            <w:shd w:val="clear" w:color="auto" w:fill="auto"/>
            <w:noWrap/>
            <w:vAlign w:val="bottom"/>
          </w:tcPr>
          <w:p w14:paraId="00420DBA"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138,79 </w:t>
            </w:r>
          </w:p>
        </w:tc>
        <w:tc>
          <w:tcPr>
            <w:tcW w:w="760" w:type="pct"/>
            <w:tcBorders>
              <w:top w:val="nil"/>
              <w:left w:val="nil"/>
              <w:bottom w:val="nil"/>
              <w:right w:val="nil"/>
            </w:tcBorders>
            <w:shd w:val="clear" w:color="000000" w:fill="70AD47"/>
            <w:noWrap/>
            <w:vAlign w:val="center"/>
          </w:tcPr>
          <w:p w14:paraId="01155976"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74372613" w14:textId="77777777" w:rsidTr="00AE52E4">
        <w:trPr>
          <w:gridAfter w:val="2"/>
          <w:wAfter w:w="60" w:type="pct"/>
          <w:trHeight w:val="20"/>
          <w:jc w:val="center"/>
        </w:trPr>
        <w:tc>
          <w:tcPr>
            <w:tcW w:w="1071" w:type="pct"/>
            <w:vMerge/>
            <w:tcBorders>
              <w:bottom w:val="single" w:sz="4" w:space="0" w:color="auto"/>
            </w:tcBorders>
            <w:vAlign w:val="center"/>
            <w:hideMark/>
          </w:tcPr>
          <w:p w14:paraId="7CE23718"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0D6894D3"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002214EF"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 DE VEHICULO</w:t>
            </w:r>
          </w:p>
        </w:tc>
        <w:tc>
          <w:tcPr>
            <w:tcW w:w="386" w:type="pct"/>
            <w:shd w:val="clear" w:color="auto" w:fill="auto"/>
            <w:noWrap/>
            <w:vAlign w:val="center"/>
            <w:hideMark/>
          </w:tcPr>
          <w:p w14:paraId="3689C3BB"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99,35</w:t>
            </w:r>
          </w:p>
        </w:tc>
        <w:tc>
          <w:tcPr>
            <w:tcW w:w="68" w:type="pct"/>
            <w:shd w:val="clear" w:color="000000" w:fill="FFFFFF"/>
            <w:noWrap/>
            <w:hideMark/>
          </w:tcPr>
          <w:p w14:paraId="5E26AB89"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5F5DF5CF" w14:textId="213AFECD"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63,89</w:t>
            </w:r>
          </w:p>
        </w:tc>
        <w:tc>
          <w:tcPr>
            <w:tcW w:w="273" w:type="pct"/>
            <w:tcBorders>
              <w:top w:val="nil"/>
              <w:left w:val="nil"/>
              <w:bottom w:val="nil"/>
              <w:right w:val="nil"/>
            </w:tcBorders>
            <w:shd w:val="clear" w:color="auto" w:fill="auto"/>
            <w:vAlign w:val="bottom"/>
          </w:tcPr>
          <w:p w14:paraId="3A98B36E" w14:textId="1529AD28"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65,29</w:t>
            </w:r>
          </w:p>
        </w:tc>
        <w:tc>
          <w:tcPr>
            <w:tcW w:w="709" w:type="pct"/>
            <w:tcBorders>
              <w:top w:val="nil"/>
              <w:left w:val="nil"/>
              <w:right w:val="nil"/>
            </w:tcBorders>
            <w:shd w:val="clear" w:color="auto" w:fill="auto"/>
            <w:noWrap/>
            <w:vAlign w:val="center"/>
            <w:hideMark/>
          </w:tcPr>
          <w:p w14:paraId="0C8F7D64" w14:textId="1E944E9E"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99,35 a 115,93</w:t>
            </w:r>
          </w:p>
        </w:tc>
        <w:tc>
          <w:tcPr>
            <w:tcW w:w="639" w:type="pct"/>
            <w:tcBorders>
              <w:top w:val="nil"/>
              <w:left w:val="nil"/>
              <w:right w:val="nil"/>
            </w:tcBorders>
            <w:shd w:val="clear" w:color="auto" w:fill="auto"/>
            <w:noWrap/>
            <w:vAlign w:val="bottom"/>
          </w:tcPr>
          <w:p w14:paraId="77CA17E7"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60,33 </w:t>
            </w:r>
          </w:p>
        </w:tc>
        <w:tc>
          <w:tcPr>
            <w:tcW w:w="760" w:type="pct"/>
            <w:tcBorders>
              <w:top w:val="nil"/>
              <w:left w:val="nil"/>
              <w:right w:val="nil"/>
            </w:tcBorders>
            <w:shd w:val="clear" w:color="000000" w:fill="70AD47"/>
            <w:noWrap/>
            <w:vAlign w:val="center"/>
          </w:tcPr>
          <w:p w14:paraId="1F03EA10"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57501243" w14:textId="77777777" w:rsidTr="00AE52E4">
        <w:trPr>
          <w:gridAfter w:val="2"/>
          <w:wAfter w:w="60" w:type="pct"/>
          <w:trHeight w:val="20"/>
          <w:jc w:val="center"/>
        </w:trPr>
        <w:tc>
          <w:tcPr>
            <w:tcW w:w="1071" w:type="pct"/>
            <w:vMerge/>
            <w:tcBorders>
              <w:bottom w:val="single" w:sz="4" w:space="0" w:color="auto"/>
            </w:tcBorders>
            <w:vAlign w:val="center"/>
            <w:hideMark/>
          </w:tcPr>
          <w:p w14:paraId="02BCA4F0"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1A102C62"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bottom w:val="single" w:sz="4" w:space="0" w:color="auto"/>
            </w:tcBorders>
            <w:shd w:val="clear" w:color="auto" w:fill="auto"/>
            <w:noWrap/>
            <w:vAlign w:val="center"/>
            <w:hideMark/>
          </w:tcPr>
          <w:p w14:paraId="798370FC"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TACHA DE VEHICULO</w:t>
            </w:r>
          </w:p>
        </w:tc>
        <w:tc>
          <w:tcPr>
            <w:tcW w:w="386" w:type="pct"/>
            <w:tcBorders>
              <w:bottom w:val="single" w:sz="4" w:space="0" w:color="auto"/>
            </w:tcBorders>
            <w:shd w:val="clear" w:color="auto" w:fill="auto"/>
            <w:noWrap/>
            <w:vAlign w:val="center"/>
            <w:hideMark/>
          </w:tcPr>
          <w:p w14:paraId="42926C08"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48,23</w:t>
            </w:r>
          </w:p>
        </w:tc>
        <w:tc>
          <w:tcPr>
            <w:tcW w:w="68" w:type="pct"/>
            <w:shd w:val="clear" w:color="000000" w:fill="FFFFFF"/>
            <w:noWrap/>
            <w:hideMark/>
          </w:tcPr>
          <w:p w14:paraId="06474BBF" w14:textId="77777777" w:rsidR="003D5273" w:rsidRPr="0073029B" w:rsidRDefault="003D5273" w:rsidP="003D5273">
            <w:pPr>
              <w:spacing w:after="0" w:line="240" w:lineRule="auto"/>
              <w:jc w:val="right"/>
              <w:rPr>
                <w:rFonts w:eastAsia="Times New Roman" w:cs="Tahoma"/>
                <w:color w:val="000000"/>
                <w:sz w:val="18"/>
                <w:szCs w:val="18"/>
                <w:lang w:eastAsia="es-CR"/>
              </w:rPr>
            </w:pPr>
          </w:p>
        </w:tc>
        <w:tc>
          <w:tcPr>
            <w:tcW w:w="318" w:type="pct"/>
            <w:tcBorders>
              <w:top w:val="nil"/>
              <w:left w:val="nil"/>
              <w:bottom w:val="single" w:sz="4" w:space="0" w:color="auto"/>
              <w:right w:val="nil"/>
            </w:tcBorders>
            <w:shd w:val="clear" w:color="auto" w:fill="auto"/>
            <w:vAlign w:val="bottom"/>
          </w:tcPr>
          <w:p w14:paraId="11CF00E3" w14:textId="6F4DBED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49,71</w:t>
            </w:r>
          </w:p>
        </w:tc>
        <w:tc>
          <w:tcPr>
            <w:tcW w:w="273" w:type="pct"/>
            <w:tcBorders>
              <w:top w:val="nil"/>
              <w:left w:val="nil"/>
              <w:bottom w:val="single" w:sz="4" w:space="0" w:color="auto"/>
              <w:right w:val="nil"/>
            </w:tcBorders>
            <w:shd w:val="clear" w:color="auto" w:fill="auto"/>
            <w:vAlign w:val="bottom"/>
          </w:tcPr>
          <w:p w14:paraId="03AF089A" w14:textId="7AE4974B"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40,72</w:t>
            </w:r>
          </w:p>
        </w:tc>
        <w:tc>
          <w:tcPr>
            <w:tcW w:w="709" w:type="pct"/>
            <w:tcBorders>
              <w:top w:val="nil"/>
              <w:left w:val="nil"/>
              <w:bottom w:val="single" w:sz="4" w:space="0" w:color="auto"/>
              <w:right w:val="nil"/>
            </w:tcBorders>
            <w:shd w:val="clear" w:color="auto" w:fill="auto"/>
            <w:noWrap/>
            <w:vAlign w:val="center"/>
            <w:hideMark/>
          </w:tcPr>
          <w:p w14:paraId="783193E2" w14:textId="6CF164A5"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48,23 a 54,36</w:t>
            </w:r>
          </w:p>
        </w:tc>
        <w:tc>
          <w:tcPr>
            <w:tcW w:w="639" w:type="pct"/>
            <w:tcBorders>
              <w:top w:val="nil"/>
              <w:left w:val="nil"/>
              <w:bottom w:val="single" w:sz="4" w:space="0" w:color="auto"/>
              <w:right w:val="nil"/>
            </w:tcBorders>
            <w:shd w:val="clear" w:color="auto" w:fill="auto"/>
            <w:noWrap/>
            <w:vAlign w:val="bottom"/>
          </w:tcPr>
          <w:p w14:paraId="21033978"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28,41 </w:t>
            </w:r>
          </w:p>
        </w:tc>
        <w:tc>
          <w:tcPr>
            <w:tcW w:w="760" w:type="pct"/>
            <w:tcBorders>
              <w:top w:val="nil"/>
              <w:left w:val="nil"/>
              <w:bottom w:val="single" w:sz="4" w:space="0" w:color="auto"/>
              <w:right w:val="nil"/>
            </w:tcBorders>
            <w:shd w:val="clear" w:color="000000" w:fill="70AD47"/>
            <w:noWrap/>
            <w:vAlign w:val="center"/>
          </w:tcPr>
          <w:p w14:paraId="13C06785"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ED6AE3" w:rsidRPr="0073029B" w14:paraId="31D9AD69" w14:textId="77777777" w:rsidTr="00AE52E4">
        <w:trPr>
          <w:gridAfter w:val="2"/>
          <w:wAfter w:w="60" w:type="pct"/>
          <w:trHeight w:val="70"/>
          <w:jc w:val="center"/>
        </w:trPr>
        <w:tc>
          <w:tcPr>
            <w:tcW w:w="1071" w:type="pct"/>
            <w:vMerge/>
            <w:tcBorders>
              <w:bottom w:val="single" w:sz="4" w:space="0" w:color="auto"/>
            </w:tcBorders>
            <w:vAlign w:val="center"/>
            <w:hideMark/>
          </w:tcPr>
          <w:p w14:paraId="35D96FFA"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71A9A947"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top w:val="single" w:sz="4" w:space="0" w:color="auto"/>
            </w:tcBorders>
            <w:shd w:val="clear" w:color="000000" w:fill="C6E0B4"/>
            <w:noWrap/>
            <w:vAlign w:val="center"/>
            <w:hideMark/>
          </w:tcPr>
          <w:p w14:paraId="14CFF25F"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Pacífico Central</w:t>
            </w:r>
          </w:p>
        </w:tc>
        <w:tc>
          <w:tcPr>
            <w:tcW w:w="386" w:type="pct"/>
            <w:tcBorders>
              <w:top w:val="single" w:sz="4" w:space="0" w:color="auto"/>
            </w:tcBorders>
            <w:shd w:val="clear" w:color="000000" w:fill="C6E0B4"/>
            <w:noWrap/>
            <w:vAlign w:val="center"/>
            <w:hideMark/>
          </w:tcPr>
          <w:p w14:paraId="0891D772"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1647,83</w:t>
            </w:r>
          </w:p>
        </w:tc>
        <w:tc>
          <w:tcPr>
            <w:tcW w:w="68" w:type="pct"/>
            <w:shd w:val="clear" w:color="000000" w:fill="FFFFFF"/>
            <w:noWrap/>
            <w:hideMark/>
          </w:tcPr>
          <w:p w14:paraId="5E02D4FA"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single" w:sz="4" w:space="0" w:color="auto"/>
              <w:left w:val="nil"/>
              <w:bottom w:val="nil"/>
              <w:right w:val="nil"/>
            </w:tcBorders>
            <w:shd w:val="clear" w:color="000000" w:fill="C6E0B4"/>
            <w:vAlign w:val="bottom"/>
          </w:tcPr>
          <w:p w14:paraId="298AE43B" w14:textId="149EF2B5"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1416,77</w:t>
            </w:r>
          </w:p>
        </w:tc>
        <w:tc>
          <w:tcPr>
            <w:tcW w:w="273" w:type="pct"/>
            <w:tcBorders>
              <w:top w:val="single" w:sz="4" w:space="0" w:color="auto"/>
              <w:left w:val="nil"/>
              <w:bottom w:val="nil"/>
              <w:right w:val="nil"/>
            </w:tcBorders>
            <w:shd w:val="clear" w:color="000000" w:fill="C6E0B4"/>
            <w:vAlign w:val="bottom"/>
          </w:tcPr>
          <w:p w14:paraId="78DDCCCC" w14:textId="2E8D0831"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1214,70</w:t>
            </w:r>
          </w:p>
        </w:tc>
        <w:tc>
          <w:tcPr>
            <w:tcW w:w="709" w:type="pct"/>
            <w:tcBorders>
              <w:top w:val="single" w:sz="4" w:space="0" w:color="auto"/>
              <w:left w:val="nil"/>
              <w:bottom w:val="nil"/>
              <w:right w:val="nil"/>
            </w:tcBorders>
            <w:shd w:val="clear" w:color="000000" w:fill="C6E0B4"/>
            <w:noWrap/>
            <w:vAlign w:val="center"/>
            <w:hideMark/>
          </w:tcPr>
          <w:p w14:paraId="2DB16D3D" w14:textId="0A5BA536"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1531,69 a 1647,83</w:t>
            </w:r>
          </w:p>
        </w:tc>
        <w:tc>
          <w:tcPr>
            <w:tcW w:w="639" w:type="pct"/>
            <w:tcBorders>
              <w:top w:val="single" w:sz="4" w:space="0" w:color="auto"/>
              <w:left w:val="nil"/>
              <w:bottom w:val="nil"/>
              <w:right w:val="nil"/>
            </w:tcBorders>
            <w:shd w:val="clear" w:color="000000" w:fill="C6E0B4"/>
            <w:noWrap/>
            <w:vAlign w:val="bottom"/>
          </w:tcPr>
          <w:p w14:paraId="0AB87EA7"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1 172,78 </w:t>
            </w:r>
          </w:p>
        </w:tc>
        <w:tc>
          <w:tcPr>
            <w:tcW w:w="760" w:type="pct"/>
            <w:tcBorders>
              <w:top w:val="single" w:sz="4" w:space="0" w:color="auto"/>
              <w:left w:val="nil"/>
              <w:bottom w:val="nil"/>
              <w:right w:val="nil"/>
            </w:tcBorders>
            <w:shd w:val="clear" w:color="000000" w:fill="70AD47"/>
            <w:noWrap/>
            <w:vAlign w:val="center"/>
          </w:tcPr>
          <w:p w14:paraId="62DF76B3" w14:textId="77777777" w:rsidR="003D5273" w:rsidRPr="0073029B" w:rsidRDefault="003D5273" w:rsidP="003D5273">
            <w:pPr>
              <w:spacing w:after="0" w:line="240" w:lineRule="auto"/>
              <w:jc w:val="center"/>
              <w:rPr>
                <w:rFonts w:cs="Tahoma"/>
                <w:b/>
                <w:bCs/>
                <w:color w:val="FFFFFF" w:themeColor="background1"/>
                <w:sz w:val="18"/>
                <w:szCs w:val="18"/>
              </w:rPr>
            </w:pPr>
            <w:r w:rsidRPr="0073029B">
              <w:rPr>
                <w:rFonts w:cs="Tahoma"/>
                <w:b/>
                <w:bCs/>
                <w:color w:val="FFFFFF"/>
                <w:sz w:val="18"/>
                <w:szCs w:val="18"/>
              </w:rPr>
              <w:t>Cumplimiento alto</w:t>
            </w:r>
          </w:p>
        </w:tc>
      </w:tr>
      <w:tr w:rsidR="00522D1B" w:rsidRPr="0073029B" w14:paraId="4EA70A1C" w14:textId="77777777" w:rsidTr="00AE52E4">
        <w:trPr>
          <w:gridAfter w:val="2"/>
          <w:wAfter w:w="60" w:type="pct"/>
          <w:trHeight w:val="20"/>
          <w:jc w:val="center"/>
        </w:trPr>
        <w:tc>
          <w:tcPr>
            <w:tcW w:w="1071" w:type="pct"/>
            <w:vMerge/>
            <w:tcBorders>
              <w:bottom w:val="single" w:sz="4" w:space="0" w:color="auto"/>
            </w:tcBorders>
            <w:vAlign w:val="center"/>
            <w:hideMark/>
          </w:tcPr>
          <w:p w14:paraId="06DE5CB4"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1B972AC7"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1150CF6A"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ASALTO</w:t>
            </w:r>
          </w:p>
        </w:tc>
        <w:tc>
          <w:tcPr>
            <w:tcW w:w="386" w:type="pct"/>
            <w:shd w:val="clear" w:color="auto" w:fill="auto"/>
            <w:noWrap/>
            <w:vAlign w:val="center"/>
            <w:hideMark/>
          </w:tcPr>
          <w:p w14:paraId="6431D50C"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318,71</w:t>
            </w:r>
          </w:p>
        </w:tc>
        <w:tc>
          <w:tcPr>
            <w:tcW w:w="68" w:type="pct"/>
            <w:shd w:val="clear" w:color="000000" w:fill="FFFFFF"/>
            <w:noWrap/>
            <w:hideMark/>
          </w:tcPr>
          <w:p w14:paraId="66C70865" w14:textId="77777777" w:rsidR="003D5273" w:rsidRPr="0073029B" w:rsidRDefault="003D5273" w:rsidP="003D5273">
            <w:pPr>
              <w:spacing w:after="0" w:line="240" w:lineRule="auto"/>
              <w:jc w:val="right"/>
              <w:rPr>
                <w:rFonts w:cs="Tahoma"/>
                <w:color w:val="FFFFFF"/>
                <w:sz w:val="18"/>
                <w:szCs w:val="18"/>
              </w:rPr>
            </w:pPr>
            <w:r w:rsidRPr="0073029B">
              <w:rPr>
                <w:rFonts w:cs="Tahoma"/>
                <w:color w:val="FFFFFF"/>
                <w:sz w:val="18"/>
                <w:szCs w:val="18"/>
              </w:rPr>
              <w:t> </w:t>
            </w:r>
          </w:p>
        </w:tc>
        <w:tc>
          <w:tcPr>
            <w:tcW w:w="318" w:type="pct"/>
            <w:tcBorders>
              <w:top w:val="nil"/>
              <w:left w:val="nil"/>
              <w:bottom w:val="nil"/>
              <w:right w:val="nil"/>
            </w:tcBorders>
            <w:shd w:val="clear" w:color="auto" w:fill="auto"/>
            <w:vAlign w:val="bottom"/>
          </w:tcPr>
          <w:p w14:paraId="52E95BDE" w14:textId="30D1D103"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315,29</w:t>
            </w:r>
          </w:p>
        </w:tc>
        <w:tc>
          <w:tcPr>
            <w:tcW w:w="273" w:type="pct"/>
            <w:tcBorders>
              <w:top w:val="nil"/>
              <w:left w:val="nil"/>
              <w:bottom w:val="nil"/>
              <w:right w:val="nil"/>
            </w:tcBorders>
            <w:shd w:val="clear" w:color="auto" w:fill="auto"/>
            <w:vAlign w:val="bottom"/>
          </w:tcPr>
          <w:p w14:paraId="076D6B58" w14:textId="738001A9"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214,36</w:t>
            </w:r>
          </w:p>
        </w:tc>
        <w:tc>
          <w:tcPr>
            <w:tcW w:w="709" w:type="pct"/>
            <w:tcBorders>
              <w:top w:val="nil"/>
              <w:left w:val="nil"/>
              <w:bottom w:val="nil"/>
              <w:right w:val="nil"/>
            </w:tcBorders>
            <w:shd w:val="clear" w:color="auto" w:fill="auto"/>
            <w:noWrap/>
            <w:vAlign w:val="center"/>
            <w:hideMark/>
          </w:tcPr>
          <w:p w14:paraId="7C99FF20" w14:textId="74B9653A"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304,06 a 318,71</w:t>
            </w:r>
          </w:p>
        </w:tc>
        <w:tc>
          <w:tcPr>
            <w:tcW w:w="639" w:type="pct"/>
            <w:tcBorders>
              <w:top w:val="nil"/>
              <w:left w:val="nil"/>
              <w:bottom w:val="nil"/>
              <w:right w:val="nil"/>
            </w:tcBorders>
            <w:shd w:val="clear" w:color="auto" w:fill="auto"/>
            <w:noWrap/>
            <w:vAlign w:val="bottom"/>
          </w:tcPr>
          <w:p w14:paraId="3ADD792B"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175,92 </w:t>
            </w:r>
          </w:p>
        </w:tc>
        <w:tc>
          <w:tcPr>
            <w:tcW w:w="760" w:type="pct"/>
            <w:tcBorders>
              <w:top w:val="nil"/>
              <w:left w:val="nil"/>
              <w:bottom w:val="nil"/>
              <w:right w:val="nil"/>
            </w:tcBorders>
            <w:shd w:val="clear" w:color="000000" w:fill="70AD47"/>
            <w:noWrap/>
            <w:vAlign w:val="center"/>
          </w:tcPr>
          <w:p w14:paraId="5D7E3AEA"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0C611E8A" w14:textId="77777777" w:rsidTr="00AE52E4">
        <w:trPr>
          <w:gridAfter w:val="2"/>
          <w:wAfter w:w="60" w:type="pct"/>
          <w:trHeight w:val="20"/>
          <w:jc w:val="center"/>
        </w:trPr>
        <w:tc>
          <w:tcPr>
            <w:tcW w:w="1071" w:type="pct"/>
            <w:vMerge/>
            <w:tcBorders>
              <w:bottom w:val="single" w:sz="4" w:space="0" w:color="auto"/>
            </w:tcBorders>
            <w:vAlign w:val="center"/>
            <w:hideMark/>
          </w:tcPr>
          <w:p w14:paraId="793BAB9C"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01337EE7"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2F9827E1"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HOMICIDIO</w:t>
            </w:r>
          </w:p>
        </w:tc>
        <w:tc>
          <w:tcPr>
            <w:tcW w:w="386" w:type="pct"/>
            <w:shd w:val="clear" w:color="auto" w:fill="auto"/>
            <w:noWrap/>
            <w:vAlign w:val="center"/>
            <w:hideMark/>
          </w:tcPr>
          <w:p w14:paraId="7B3EB2E9"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18,10</w:t>
            </w:r>
          </w:p>
        </w:tc>
        <w:tc>
          <w:tcPr>
            <w:tcW w:w="68" w:type="pct"/>
            <w:shd w:val="clear" w:color="000000" w:fill="FFFFFF"/>
            <w:noWrap/>
            <w:hideMark/>
          </w:tcPr>
          <w:p w14:paraId="2F6287A0"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000000" w:fill="FF0000"/>
            <w:vAlign w:val="bottom"/>
          </w:tcPr>
          <w:p w14:paraId="2A1A75D5" w14:textId="7C4C2FF6"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26,88</w:t>
            </w:r>
          </w:p>
        </w:tc>
        <w:tc>
          <w:tcPr>
            <w:tcW w:w="273" w:type="pct"/>
            <w:tcBorders>
              <w:top w:val="nil"/>
              <w:left w:val="nil"/>
              <w:bottom w:val="nil"/>
              <w:right w:val="nil"/>
            </w:tcBorders>
            <w:shd w:val="clear" w:color="000000" w:fill="FF0000"/>
            <w:vAlign w:val="bottom"/>
          </w:tcPr>
          <w:p w14:paraId="50F17F7E" w14:textId="10CCA3A3"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40,87</w:t>
            </w:r>
          </w:p>
        </w:tc>
        <w:tc>
          <w:tcPr>
            <w:tcW w:w="709" w:type="pct"/>
            <w:tcBorders>
              <w:top w:val="nil"/>
              <w:left w:val="nil"/>
              <w:bottom w:val="nil"/>
              <w:right w:val="nil"/>
            </w:tcBorders>
            <w:shd w:val="clear" w:color="auto" w:fill="auto"/>
            <w:noWrap/>
            <w:vAlign w:val="center"/>
            <w:hideMark/>
          </w:tcPr>
          <w:p w14:paraId="71F9C171" w14:textId="46DABF81"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18,1 a 22,1</w:t>
            </w:r>
          </w:p>
        </w:tc>
        <w:tc>
          <w:tcPr>
            <w:tcW w:w="639" w:type="pct"/>
            <w:tcBorders>
              <w:top w:val="nil"/>
              <w:left w:val="nil"/>
              <w:bottom w:val="nil"/>
              <w:right w:val="nil"/>
            </w:tcBorders>
            <w:shd w:val="clear" w:color="000000" w:fill="FF0000"/>
            <w:noWrap/>
            <w:vAlign w:val="bottom"/>
          </w:tcPr>
          <w:p w14:paraId="157EEE5C"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w:t>
            </w:r>
            <w:r w:rsidRPr="001072FC">
              <w:rPr>
                <w:rFonts w:cs="Tahoma"/>
                <w:color w:val="FFFFFF" w:themeColor="background1"/>
                <w:sz w:val="18"/>
                <w:szCs w:val="18"/>
              </w:rPr>
              <w:t xml:space="preserve">32,93 </w:t>
            </w:r>
          </w:p>
        </w:tc>
        <w:tc>
          <w:tcPr>
            <w:tcW w:w="760" w:type="pct"/>
            <w:tcBorders>
              <w:top w:val="nil"/>
              <w:left w:val="nil"/>
              <w:bottom w:val="nil"/>
              <w:right w:val="nil"/>
            </w:tcBorders>
            <w:shd w:val="clear" w:color="000000" w:fill="FF0000"/>
            <w:noWrap/>
            <w:vAlign w:val="center"/>
          </w:tcPr>
          <w:p w14:paraId="418AFEE3"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bajo</w:t>
            </w:r>
          </w:p>
        </w:tc>
      </w:tr>
      <w:tr w:rsidR="00522D1B" w:rsidRPr="0073029B" w14:paraId="45D8DE28" w14:textId="77777777" w:rsidTr="00AE52E4">
        <w:trPr>
          <w:gridAfter w:val="2"/>
          <w:wAfter w:w="60" w:type="pct"/>
          <w:trHeight w:val="20"/>
          <w:jc w:val="center"/>
        </w:trPr>
        <w:tc>
          <w:tcPr>
            <w:tcW w:w="1071" w:type="pct"/>
            <w:vMerge/>
            <w:tcBorders>
              <w:bottom w:val="single" w:sz="4" w:space="0" w:color="auto"/>
            </w:tcBorders>
            <w:vAlign w:val="center"/>
            <w:hideMark/>
          </w:tcPr>
          <w:p w14:paraId="04DD3FF8"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36EBCA89"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0EC5C184"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HURTO</w:t>
            </w:r>
          </w:p>
        </w:tc>
        <w:tc>
          <w:tcPr>
            <w:tcW w:w="386" w:type="pct"/>
            <w:shd w:val="clear" w:color="auto" w:fill="auto"/>
            <w:noWrap/>
            <w:vAlign w:val="center"/>
            <w:hideMark/>
          </w:tcPr>
          <w:p w14:paraId="539D8CF7"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547,94</w:t>
            </w:r>
          </w:p>
        </w:tc>
        <w:tc>
          <w:tcPr>
            <w:tcW w:w="68" w:type="pct"/>
            <w:shd w:val="clear" w:color="000000" w:fill="FFFFFF"/>
            <w:noWrap/>
            <w:hideMark/>
          </w:tcPr>
          <w:p w14:paraId="5E35B96B"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5AF90E90" w14:textId="11D8E256"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444,32</w:t>
            </w:r>
          </w:p>
        </w:tc>
        <w:tc>
          <w:tcPr>
            <w:tcW w:w="273" w:type="pct"/>
            <w:tcBorders>
              <w:top w:val="nil"/>
              <w:left w:val="nil"/>
              <w:bottom w:val="nil"/>
              <w:right w:val="nil"/>
            </w:tcBorders>
            <w:shd w:val="clear" w:color="auto" w:fill="auto"/>
            <w:vAlign w:val="bottom"/>
          </w:tcPr>
          <w:p w14:paraId="0CFF3FFD" w14:textId="15AE65C8"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371,31</w:t>
            </w:r>
          </w:p>
        </w:tc>
        <w:tc>
          <w:tcPr>
            <w:tcW w:w="709" w:type="pct"/>
            <w:tcBorders>
              <w:top w:val="nil"/>
              <w:left w:val="nil"/>
              <w:bottom w:val="nil"/>
              <w:right w:val="nil"/>
            </w:tcBorders>
            <w:shd w:val="clear" w:color="auto" w:fill="auto"/>
            <w:noWrap/>
            <w:vAlign w:val="center"/>
            <w:hideMark/>
          </w:tcPr>
          <w:p w14:paraId="4E1727F8" w14:textId="0AA592D9"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420,76 a 547,94</w:t>
            </w:r>
          </w:p>
        </w:tc>
        <w:tc>
          <w:tcPr>
            <w:tcW w:w="639" w:type="pct"/>
            <w:tcBorders>
              <w:top w:val="nil"/>
              <w:left w:val="nil"/>
              <w:bottom w:val="nil"/>
              <w:right w:val="nil"/>
            </w:tcBorders>
            <w:shd w:val="clear" w:color="auto" w:fill="auto"/>
            <w:noWrap/>
            <w:vAlign w:val="bottom"/>
          </w:tcPr>
          <w:p w14:paraId="696536B9"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325,81 </w:t>
            </w:r>
          </w:p>
        </w:tc>
        <w:tc>
          <w:tcPr>
            <w:tcW w:w="760" w:type="pct"/>
            <w:tcBorders>
              <w:top w:val="nil"/>
              <w:left w:val="nil"/>
              <w:bottom w:val="nil"/>
              <w:right w:val="nil"/>
            </w:tcBorders>
            <w:shd w:val="clear" w:color="000000" w:fill="70AD47"/>
            <w:noWrap/>
            <w:vAlign w:val="center"/>
          </w:tcPr>
          <w:p w14:paraId="6AF14B0B"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193557B1" w14:textId="77777777" w:rsidTr="00AE52E4">
        <w:trPr>
          <w:gridAfter w:val="2"/>
          <w:wAfter w:w="60" w:type="pct"/>
          <w:trHeight w:val="20"/>
          <w:jc w:val="center"/>
        </w:trPr>
        <w:tc>
          <w:tcPr>
            <w:tcW w:w="1071" w:type="pct"/>
            <w:vMerge/>
            <w:tcBorders>
              <w:bottom w:val="single" w:sz="4" w:space="0" w:color="auto"/>
            </w:tcBorders>
            <w:vAlign w:val="center"/>
            <w:hideMark/>
          </w:tcPr>
          <w:p w14:paraId="2BCF736F"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508C2710"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2BC3846E"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w:t>
            </w:r>
          </w:p>
        </w:tc>
        <w:tc>
          <w:tcPr>
            <w:tcW w:w="386" w:type="pct"/>
            <w:shd w:val="clear" w:color="auto" w:fill="auto"/>
            <w:noWrap/>
            <w:vAlign w:val="center"/>
            <w:hideMark/>
          </w:tcPr>
          <w:p w14:paraId="06BC2DDB"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434,66</w:t>
            </w:r>
          </w:p>
        </w:tc>
        <w:tc>
          <w:tcPr>
            <w:tcW w:w="68" w:type="pct"/>
            <w:shd w:val="clear" w:color="000000" w:fill="FFFFFF"/>
            <w:noWrap/>
            <w:hideMark/>
          </w:tcPr>
          <w:p w14:paraId="7C37DF61"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nil"/>
              <w:right w:val="nil"/>
            </w:tcBorders>
            <w:shd w:val="clear" w:color="auto" w:fill="auto"/>
            <w:vAlign w:val="bottom"/>
          </w:tcPr>
          <w:p w14:paraId="12681E57" w14:textId="486FBB5C"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319,72</w:t>
            </w:r>
          </w:p>
        </w:tc>
        <w:tc>
          <w:tcPr>
            <w:tcW w:w="273" w:type="pct"/>
            <w:tcBorders>
              <w:top w:val="nil"/>
              <w:left w:val="nil"/>
              <w:bottom w:val="nil"/>
              <w:right w:val="nil"/>
            </w:tcBorders>
            <w:shd w:val="clear" w:color="auto" w:fill="auto"/>
            <w:vAlign w:val="bottom"/>
          </w:tcPr>
          <w:p w14:paraId="7C4D25C0" w14:textId="5E835AA8"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260,54</w:t>
            </w:r>
          </w:p>
        </w:tc>
        <w:tc>
          <w:tcPr>
            <w:tcW w:w="709" w:type="pct"/>
            <w:tcBorders>
              <w:top w:val="nil"/>
              <w:left w:val="nil"/>
              <w:bottom w:val="nil"/>
              <w:right w:val="nil"/>
            </w:tcBorders>
            <w:shd w:val="clear" w:color="auto" w:fill="auto"/>
            <w:noWrap/>
            <w:vAlign w:val="center"/>
            <w:hideMark/>
          </w:tcPr>
          <w:p w14:paraId="06818E9E" w14:textId="77D688DB"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398,62 a 434,66</w:t>
            </w:r>
          </w:p>
        </w:tc>
        <w:tc>
          <w:tcPr>
            <w:tcW w:w="639" w:type="pct"/>
            <w:tcBorders>
              <w:top w:val="nil"/>
              <w:left w:val="nil"/>
              <w:bottom w:val="nil"/>
              <w:right w:val="nil"/>
            </w:tcBorders>
            <w:shd w:val="clear" w:color="auto" w:fill="auto"/>
            <w:noWrap/>
            <w:vAlign w:val="bottom"/>
          </w:tcPr>
          <w:p w14:paraId="3348F8F9"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271,25 </w:t>
            </w:r>
          </w:p>
        </w:tc>
        <w:tc>
          <w:tcPr>
            <w:tcW w:w="760" w:type="pct"/>
            <w:tcBorders>
              <w:top w:val="nil"/>
              <w:left w:val="nil"/>
              <w:bottom w:val="nil"/>
              <w:right w:val="nil"/>
            </w:tcBorders>
            <w:shd w:val="clear" w:color="000000" w:fill="70AD47"/>
            <w:noWrap/>
            <w:vAlign w:val="center"/>
          </w:tcPr>
          <w:p w14:paraId="11843D6E"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r w:rsidR="00522D1B" w:rsidRPr="0073029B" w14:paraId="53E7069C" w14:textId="77777777" w:rsidTr="00AE52E4">
        <w:trPr>
          <w:gridAfter w:val="2"/>
          <w:wAfter w:w="60" w:type="pct"/>
          <w:trHeight w:val="20"/>
          <w:jc w:val="center"/>
        </w:trPr>
        <w:tc>
          <w:tcPr>
            <w:tcW w:w="1071" w:type="pct"/>
            <w:vMerge/>
            <w:tcBorders>
              <w:bottom w:val="single" w:sz="4" w:space="0" w:color="auto"/>
            </w:tcBorders>
            <w:vAlign w:val="center"/>
            <w:hideMark/>
          </w:tcPr>
          <w:p w14:paraId="2E71D3A7"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shd w:val="clear" w:color="auto" w:fill="auto"/>
            <w:noWrap/>
            <w:vAlign w:val="bottom"/>
            <w:hideMark/>
          </w:tcPr>
          <w:p w14:paraId="5FD189E7"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shd w:val="clear" w:color="auto" w:fill="auto"/>
            <w:noWrap/>
            <w:vAlign w:val="center"/>
            <w:hideMark/>
          </w:tcPr>
          <w:p w14:paraId="04A453C4"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ROBO DE VEHICULO</w:t>
            </w:r>
          </w:p>
        </w:tc>
        <w:tc>
          <w:tcPr>
            <w:tcW w:w="386" w:type="pct"/>
            <w:shd w:val="clear" w:color="auto" w:fill="auto"/>
            <w:noWrap/>
            <w:vAlign w:val="center"/>
            <w:hideMark/>
          </w:tcPr>
          <w:p w14:paraId="2F2E2872"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102,88</w:t>
            </w:r>
          </w:p>
        </w:tc>
        <w:tc>
          <w:tcPr>
            <w:tcW w:w="68" w:type="pct"/>
            <w:shd w:val="clear" w:color="000000" w:fill="FFFFFF"/>
            <w:noWrap/>
            <w:hideMark/>
          </w:tcPr>
          <w:p w14:paraId="18D277A1"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right w:val="nil"/>
            </w:tcBorders>
            <w:shd w:val="clear" w:color="000000" w:fill="FF0000"/>
            <w:vAlign w:val="bottom"/>
          </w:tcPr>
          <w:p w14:paraId="10A97514" w14:textId="01738228"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133,45</w:t>
            </w:r>
          </w:p>
        </w:tc>
        <w:tc>
          <w:tcPr>
            <w:tcW w:w="273" w:type="pct"/>
            <w:tcBorders>
              <w:top w:val="nil"/>
              <w:left w:val="nil"/>
              <w:right w:val="nil"/>
            </w:tcBorders>
            <w:shd w:val="clear" w:color="000000" w:fill="FF0000"/>
            <w:vAlign w:val="bottom"/>
          </w:tcPr>
          <w:p w14:paraId="1403B645" w14:textId="7039D74A"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FFFFFF"/>
                <w:sz w:val="18"/>
                <w:szCs w:val="18"/>
              </w:rPr>
              <w:t>152,27</w:t>
            </w:r>
          </w:p>
        </w:tc>
        <w:tc>
          <w:tcPr>
            <w:tcW w:w="709" w:type="pct"/>
            <w:tcBorders>
              <w:top w:val="nil"/>
              <w:left w:val="nil"/>
              <w:right w:val="nil"/>
            </w:tcBorders>
            <w:shd w:val="clear" w:color="auto" w:fill="auto"/>
            <w:noWrap/>
            <w:vAlign w:val="center"/>
            <w:hideMark/>
          </w:tcPr>
          <w:p w14:paraId="5D4429A3" w14:textId="67F3EE23"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102,88 a 112,48</w:t>
            </w:r>
          </w:p>
        </w:tc>
        <w:tc>
          <w:tcPr>
            <w:tcW w:w="639" w:type="pct"/>
            <w:tcBorders>
              <w:top w:val="nil"/>
              <w:left w:val="nil"/>
              <w:right w:val="nil"/>
            </w:tcBorders>
            <w:shd w:val="clear" w:color="000000" w:fill="FF0000"/>
            <w:noWrap/>
            <w:vAlign w:val="bottom"/>
          </w:tcPr>
          <w:p w14:paraId="1AFE3D5D"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w:t>
            </w:r>
            <w:r w:rsidRPr="001072FC">
              <w:rPr>
                <w:rFonts w:cs="Tahoma"/>
                <w:color w:val="FFFFFF" w:themeColor="background1"/>
                <w:sz w:val="18"/>
                <w:szCs w:val="18"/>
              </w:rPr>
              <w:t xml:space="preserve">155,85 </w:t>
            </w:r>
          </w:p>
        </w:tc>
        <w:tc>
          <w:tcPr>
            <w:tcW w:w="760" w:type="pct"/>
            <w:tcBorders>
              <w:top w:val="nil"/>
              <w:left w:val="nil"/>
              <w:right w:val="nil"/>
            </w:tcBorders>
            <w:shd w:val="clear" w:color="000000" w:fill="FF0000"/>
            <w:noWrap/>
            <w:vAlign w:val="center"/>
          </w:tcPr>
          <w:p w14:paraId="2684E8E3"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bajo</w:t>
            </w:r>
          </w:p>
        </w:tc>
      </w:tr>
      <w:tr w:rsidR="00522D1B" w:rsidRPr="0073029B" w14:paraId="67699814" w14:textId="77777777" w:rsidTr="00AE52E4">
        <w:trPr>
          <w:gridAfter w:val="2"/>
          <w:wAfter w:w="60" w:type="pct"/>
          <w:trHeight w:val="20"/>
          <w:jc w:val="center"/>
        </w:trPr>
        <w:tc>
          <w:tcPr>
            <w:tcW w:w="1071" w:type="pct"/>
            <w:vMerge/>
            <w:tcBorders>
              <w:bottom w:val="single" w:sz="4" w:space="0" w:color="auto"/>
            </w:tcBorders>
            <w:vAlign w:val="center"/>
            <w:hideMark/>
          </w:tcPr>
          <w:p w14:paraId="60F566B6" w14:textId="77777777" w:rsidR="003D5273" w:rsidRPr="0073029B" w:rsidRDefault="003D5273" w:rsidP="003D5273">
            <w:pPr>
              <w:spacing w:after="0" w:line="240" w:lineRule="auto"/>
              <w:rPr>
                <w:rFonts w:eastAsia="Times New Roman" w:cs="Tahoma"/>
                <w:color w:val="000000"/>
                <w:sz w:val="18"/>
                <w:szCs w:val="18"/>
                <w:lang w:eastAsia="es-CR"/>
              </w:rPr>
            </w:pPr>
          </w:p>
        </w:tc>
        <w:tc>
          <w:tcPr>
            <w:tcW w:w="68" w:type="pct"/>
            <w:tcBorders>
              <w:bottom w:val="single" w:sz="4" w:space="0" w:color="auto"/>
            </w:tcBorders>
            <w:shd w:val="clear" w:color="auto" w:fill="auto"/>
            <w:noWrap/>
            <w:vAlign w:val="bottom"/>
            <w:hideMark/>
          </w:tcPr>
          <w:p w14:paraId="41723E5E" w14:textId="77777777" w:rsidR="003D5273" w:rsidRPr="0073029B" w:rsidRDefault="003D5273" w:rsidP="003D5273">
            <w:pPr>
              <w:spacing w:after="0" w:line="240" w:lineRule="auto"/>
              <w:jc w:val="center"/>
              <w:rPr>
                <w:rFonts w:eastAsia="Times New Roman" w:cs="Tahoma"/>
                <w:sz w:val="18"/>
                <w:szCs w:val="18"/>
                <w:lang w:eastAsia="es-CR"/>
              </w:rPr>
            </w:pPr>
          </w:p>
        </w:tc>
        <w:tc>
          <w:tcPr>
            <w:tcW w:w="649" w:type="pct"/>
            <w:tcBorders>
              <w:bottom w:val="single" w:sz="4" w:space="0" w:color="auto"/>
            </w:tcBorders>
            <w:shd w:val="clear" w:color="auto" w:fill="auto"/>
            <w:noWrap/>
            <w:vAlign w:val="center"/>
            <w:hideMark/>
          </w:tcPr>
          <w:p w14:paraId="56CF655A" w14:textId="77777777" w:rsidR="003D5273" w:rsidRPr="0073029B" w:rsidRDefault="003D5273" w:rsidP="003D5273">
            <w:pPr>
              <w:spacing w:after="0" w:line="240" w:lineRule="auto"/>
              <w:rPr>
                <w:rFonts w:eastAsia="Times New Roman" w:cs="Tahoma"/>
                <w:color w:val="000000"/>
                <w:sz w:val="18"/>
                <w:szCs w:val="18"/>
                <w:lang w:eastAsia="es-CR"/>
              </w:rPr>
            </w:pPr>
            <w:r w:rsidRPr="0073029B">
              <w:rPr>
                <w:rFonts w:eastAsia="Times New Roman" w:cs="Tahoma"/>
                <w:color w:val="000000"/>
                <w:sz w:val="18"/>
                <w:szCs w:val="18"/>
                <w:lang w:eastAsia="es-CR"/>
              </w:rPr>
              <w:t>TACHA DE VEHICULO</w:t>
            </w:r>
          </w:p>
        </w:tc>
        <w:tc>
          <w:tcPr>
            <w:tcW w:w="386" w:type="pct"/>
            <w:tcBorders>
              <w:bottom w:val="single" w:sz="4" w:space="0" w:color="auto"/>
            </w:tcBorders>
            <w:shd w:val="clear" w:color="auto" w:fill="auto"/>
            <w:noWrap/>
            <w:vAlign w:val="center"/>
            <w:hideMark/>
          </w:tcPr>
          <w:p w14:paraId="6D70194A"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225,54</w:t>
            </w:r>
          </w:p>
        </w:tc>
        <w:tc>
          <w:tcPr>
            <w:tcW w:w="68" w:type="pct"/>
            <w:tcBorders>
              <w:bottom w:val="single" w:sz="4" w:space="0" w:color="auto"/>
            </w:tcBorders>
            <w:shd w:val="clear" w:color="000000" w:fill="FFFFFF"/>
            <w:noWrap/>
            <w:hideMark/>
          </w:tcPr>
          <w:p w14:paraId="008725CC" w14:textId="77777777"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 </w:t>
            </w:r>
          </w:p>
        </w:tc>
        <w:tc>
          <w:tcPr>
            <w:tcW w:w="318" w:type="pct"/>
            <w:tcBorders>
              <w:top w:val="nil"/>
              <w:left w:val="nil"/>
              <w:bottom w:val="single" w:sz="4" w:space="0" w:color="auto"/>
              <w:right w:val="nil"/>
            </w:tcBorders>
            <w:shd w:val="clear" w:color="auto" w:fill="auto"/>
            <w:vAlign w:val="bottom"/>
          </w:tcPr>
          <w:p w14:paraId="6841E7E0" w14:textId="4754E1D1"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color w:val="833C0C"/>
                <w:sz w:val="18"/>
                <w:szCs w:val="18"/>
              </w:rPr>
              <w:t>177,10</w:t>
            </w:r>
          </w:p>
        </w:tc>
        <w:tc>
          <w:tcPr>
            <w:tcW w:w="273" w:type="pct"/>
            <w:tcBorders>
              <w:top w:val="nil"/>
              <w:left w:val="nil"/>
              <w:bottom w:val="single" w:sz="4" w:space="0" w:color="auto"/>
              <w:right w:val="nil"/>
            </w:tcBorders>
            <w:shd w:val="clear" w:color="auto" w:fill="auto"/>
            <w:vAlign w:val="bottom"/>
          </w:tcPr>
          <w:p w14:paraId="07579412" w14:textId="7605202D" w:rsidR="003D5273" w:rsidRPr="003D5273" w:rsidRDefault="003D5273" w:rsidP="003D5273">
            <w:pPr>
              <w:spacing w:after="0" w:line="240" w:lineRule="auto"/>
              <w:jc w:val="right"/>
              <w:rPr>
                <w:rFonts w:eastAsia="Times New Roman" w:cs="Tahoma"/>
                <w:color w:val="000000"/>
                <w:sz w:val="18"/>
                <w:szCs w:val="18"/>
                <w:lang w:eastAsia="es-CR"/>
              </w:rPr>
            </w:pPr>
            <w:r w:rsidRPr="003D5273">
              <w:rPr>
                <w:rFonts w:cs="Tahoma"/>
                <w:sz w:val="18"/>
                <w:szCs w:val="18"/>
              </w:rPr>
              <w:t>175,36</w:t>
            </w:r>
          </w:p>
        </w:tc>
        <w:tc>
          <w:tcPr>
            <w:tcW w:w="709" w:type="pct"/>
            <w:tcBorders>
              <w:top w:val="nil"/>
              <w:left w:val="nil"/>
              <w:bottom w:val="single" w:sz="4" w:space="0" w:color="auto"/>
              <w:right w:val="nil"/>
            </w:tcBorders>
            <w:shd w:val="clear" w:color="auto" w:fill="auto"/>
            <w:noWrap/>
            <w:vAlign w:val="center"/>
            <w:hideMark/>
          </w:tcPr>
          <w:p w14:paraId="5BC1A49A" w14:textId="7CA5FFE9" w:rsidR="003D5273" w:rsidRPr="0073029B" w:rsidRDefault="003D5273" w:rsidP="003D5273">
            <w:pPr>
              <w:spacing w:after="0" w:line="240" w:lineRule="auto"/>
              <w:jc w:val="right"/>
              <w:rPr>
                <w:rFonts w:eastAsia="Times New Roman" w:cs="Tahoma"/>
                <w:color w:val="000000"/>
                <w:sz w:val="18"/>
                <w:szCs w:val="18"/>
                <w:lang w:eastAsia="es-CR"/>
              </w:rPr>
            </w:pPr>
            <w:r w:rsidRPr="0073029B">
              <w:rPr>
                <w:rFonts w:eastAsia="Times New Roman" w:cs="Tahoma"/>
                <w:color w:val="000000"/>
                <w:sz w:val="18"/>
                <w:szCs w:val="18"/>
                <w:lang w:eastAsia="es-CR"/>
              </w:rPr>
              <w:t>225,54 a 273,66</w:t>
            </w:r>
          </w:p>
        </w:tc>
        <w:tc>
          <w:tcPr>
            <w:tcW w:w="639" w:type="pct"/>
            <w:tcBorders>
              <w:top w:val="nil"/>
              <w:left w:val="nil"/>
              <w:bottom w:val="single" w:sz="4" w:space="0" w:color="auto"/>
              <w:right w:val="nil"/>
            </w:tcBorders>
            <w:shd w:val="clear" w:color="auto" w:fill="auto"/>
            <w:noWrap/>
            <w:vAlign w:val="bottom"/>
          </w:tcPr>
          <w:p w14:paraId="2ED48934" w14:textId="77777777" w:rsidR="003D5273" w:rsidRPr="00780BF1" w:rsidRDefault="003D5273" w:rsidP="003D5273">
            <w:pPr>
              <w:spacing w:after="0" w:line="240" w:lineRule="auto"/>
              <w:jc w:val="right"/>
              <w:rPr>
                <w:rFonts w:eastAsia="Times New Roman" w:cs="Tahoma"/>
                <w:sz w:val="18"/>
                <w:szCs w:val="18"/>
                <w:lang w:eastAsia="es-CR"/>
              </w:rPr>
            </w:pPr>
            <w:r w:rsidRPr="00780BF1">
              <w:rPr>
                <w:rFonts w:cs="Tahoma"/>
                <w:sz w:val="18"/>
                <w:szCs w:val="18"/>
              </w:rPr>
              <w:t xml:space="preserve">                   211,04 </w:t>
            </w:r>
          </w:p>
        </w:tc>
        <w:tc>
          <w:tcPr>
            <w:tcW w:w="760" w:type="pct"/>
            <w:tcBorders>
              <w:top w:val="nil"/>
              <w:left w:val="nil"/>
              <w:bottom w:val="single" w:sz="4" w:space="0" w:color="auto"/>
              <w:right w:val="nil"/>
            </w:tcBorders>
            <w:shd w:val="clear" w:color="000000" w:fill="70AD47"/>
            <w:noWrap/>
            <w:vAlign w:val="center"/>
          </w:tcPr>
          <w:p w14:paraId="2AA06C5B" w14:textId="77777777" w:rsidR="003D5273" w:rsidRPr="0073029B" w:rsidRDefault="003D5273" w:rsidP="003D5273">
            <w:pPr>
              <w:spacing w:after="0" w:line="240" w:lineRule="auto"/>
              <w:jc w:val="center"/>
              <w:rPr>
                <w:rFonts w:eastAsia="Times New Roman" w:cs="Tahoma"/>
                <w:b/>
                <w:color w:val="FFFFFF" w:themeColor="background1"/>
                <w:sz w:val="18"/>
                <w:szCs w:val="18"/>
                <w:lang w:eastAsia="es-CR"/>
              </w:rPr>
            </w:pPr>
            <w:r w:rsidRPr="0073029B">
              <w:rPr>
                <w:rFonts w:cs="Tahoma"/>
                <w:b/>
                <w:bCs/>
                <w:color w:val="FFFFFF"/>
                <w:sz w:val="18"/>
                <w:szCs w:val="18"/>
              </w:rPr>
              <w:t>Cumplimiento alto</w:t>
            </w:r>
          </w:p>
        </w:tc>
      </w:tr>
    </w:tbl>
    <w:p w14:paraId="742E8438" w14:textId="77777777" w:rsidR="005E5A63" w:rsidRDefault="005638FE" w:rsidP="002F477A">
      <w:pPr>
        <w:spacing w:after="0"/>
        <w:ind w:left="-1276" w:right="-1140"/>
        <w:jc w:val="both"/>
        <w:rPr>
          <w:rStyle w:val="Hipervnculo"/>
          <w:rFonts w:cs="Tahoma"/>
          <w:sz w:val="18"/>
          <w:szCs w:val="18"/>
        </w:rPr>
      </w:pPr>
      <w:r w:rsidRPr="0073029B">
        <w:rPr>
          <w:rFonts w:cs="Tahoma"/>
          <w:b/>
          <w:sz w:val="18"/>
          <w:szCs w:val="18"/>
        </w:rPr>
        <w:t>Fuente:</w:t>
      </w:r>
      <w:r w:rsidRPr="0073029B">
        <w:rPr>
          <w:rFonts w:cs="Tahoma"/>
          <w:sz w:val="18"/>
          <w:szCs w:val="18"/>
        </w:rPr>
        <w:t xml:space="preserve"> </w:t>
      </w:r>
      <w:r w:rsidR="00783C39" w:rsidRPr="007D353E">
        <w:rPr>
          <w:rFonts w:cs="Tahoma"/>
          <w:sz w:val="18"/>
          <w:szCs w:val="18"/>
        </w:rPr>
        <w:t xml:space="preserve">Rectoría del Sector de Seguridad Ciudadana y Justicia, a partir de estadísticas de delitos publicadas por el Organismo de Investigación Judicial y </w:t>
      </w:r>
      <w:r w:rsidR="00783C39" w:rsidRPr="00D62FCB">
        <w:rPr>
          <w:rFonts w:cs="Tahoma"/>
          <w:sz w:val="18"/>
          <w:szCs w:val="18"/>
        </w:rPr>
        <w:t>las estimaciones y proyecciones de població</w:t>
      </w:r>
      <w:r w:rsidR="00783C39">
        <w:rPr>
          <w:rFonts w:cs="Tahoma"/>
          <w:sz w:val="18"/>
          <w:szCs w:val="18"/>
        </w:rPr>
        <w:t xml:space="preserve">n </w:t>
      </w:r>
      <w:r w:rsidR="00783C39" w:rsidRPr="007D353E">
        <w:rPr>
          <w:rFonts w:cs="Tahoma"/>
          <w:sz w:val="18"/>
          <w:szCs w:val="18"/>
        </w:rPr>
        <w:t>del Instituto Nacional de Estadísticas y Censos</w:t>
      </w:r>
      <w:r w:rsidR="00783C39">
        <w:rPr>
          <w:rFonts w:cs="Tahoma"/>
          <w:sz w:val="18"/>
          <w:szCs w:val="18"/>
        </w:rPr>
        <w:t xml:space="preserve">, </w:t>
      </w:r>
      <w:r w:rsidR="00783C39" w:rsidRPr="00C86550">
        <w:rPr>
          <w:rFonts w:cs="Tahoma"/>
          <w:sz w:val="18"/>
          <w:szCs w:val="18"/>
        </w:rPr>
        <w:t>publicadas el 15 de octubre de 2025.</w:t>
      </w:r>
      <w:r w:rsidR="00783C39" w:rsidRPr="007D353E">
        <w:rPr>
          <w:rFonts w:cs="Tahoma"/>
          <w:b/>
          <w:sz w:val="18"/>
          <w:szCs w:val="18"/>
        </w:rPr>
        <w:t xml:space="preserve"> </w:t>
      </w:r>
      <w:r w:rsidR="00783C39" w:rsidRPr="007D353E">
        <w:rPr>
          <w:rFonts w:cs="Tahoma"/>
          <w:sz w:val="18"/>
          <w:szCs w:val="18"/>
        </w:rPr>
        <w:t xml:space="preserve">Resultados actualizados con estadísticas policiales del Organismo de Investigación Judicial </w:t>
      </w:r>
      <w:r w:rsidR="00783C39">
        <w:rPr>
          <w:rFonts w:cs="Tahoma"/>
          <w:sz w:val="18"/>
          <w:szCs w:val="18"/>
        </w:rPr>
        <w:t>del 01 de enero al</w:t>
      </w:r>
      <w:r w:rsidR="00783C39" w:rsidRPr="007D353E">
        <w:rPr>
          <w:rFonts w:cs="Tahoma"/>
          <w:sz w:val="18"/>
          <w:szCs w:val="18"/>
        </w:rPr>
        <w:t xml:space="preserve"> 3</w:t>
      </w:r>
      <w:r w:rsidR="00783C39">
        <w:rPr>
          <w:rFonts w:cs="Tahoma"/>
          <w:sz w:val="18"/>
          <w:szCs w:val="18"/>
        </w:rPr>
        <w:t>1</w:t>
      </w:r>
      <w:r w:rsidR="00783C39" w:rsidRPr="007D353E">
        <w:rPr>
          <w:rFonts w:cs="Tahoma"/>
          <w:sz w:val="18"/>
          <w:szCs w:val="18"/>
        </w:rPr>
        <w:t xml:space="preserve"> de </w:t>
      </w:r>
      <w:r w:rsidR="00783C39">
        <w:rPr>
          <w:rFonts w:cs="Tahoma"/>
          <w:sz w:val="18"/>
          <w:szCs w:val="18"/>
        </w:rPr>
        <w:t>diciembre de 2025</w:t>
      </w:r>
      <w:r w:rsidR="00783C39" w:rsidRPr="007D353E">
        <w:rPr>
          <w:rFonts w:cs="Tahoma"/>
          <w:sz w:val="18"/>
          <w:szCs w:val="18"/>
        </w:rPr>
        <w:t xml:space="preserve">. Datos recuperados </w:t>
      </w:r>
      <w:r w:rsidR="00783C39" w:rsidRPr="006B3D6F">
        <w:rPr>
          <w:rFonts w:cs="Tahoma"/>
          <w:sz w:val="18"/>
          <w:szCs w:val="18"/>
        </w:rPr>
        <w:t xml:space="preserve">el </w:t>
      </w:r>
      <w:r w:rsidR="00783C39">
        <w:rPr>
          <w:rFonts w:cs="Tahoma"/>
          <w:sz w:val="18"/>
          <w:szCs w:val="18"/>
        </w:rPr>
        <w:t>05</w:t>
      </w:r>
      <w:r w:rsidR="00783C39" w:rsidRPr="006B3D6F">
        <w:rPr>
          <w:rFonts w:cs="Tahoma"/>
          <w:sz w:val="18"/>
          <w:szCs w:val="18"/>
        </w:rPr>
        <w:t>/</w:t>
      </w:r>
      <w:r w:rsidR="00783C39">
        <w:rPr>
          <w:rFonts w:cs="Tahoma"/>
          <w:sz w:val="18"/>
          <w:szCs w:val="18"/>
        </w:rPr>
        <w:t>01</w:t>
      </w:r>
      <w:r w:rsidR="00783C39" w:rsidRPr="006B3D6F">
        <w:rPr>
          <w:rFonts w:cs="Tahoma"/>
          <w:sz w:val="18"/>
          <w:szCs w:val="18"/>
        </w:rPr>
        <w:t>/202</w:t>
      </w:r>
      <w:r w:rsidR="00783C39">
        <w:rPr>
          <w:rFonts w:cs="Tahoma"/>
          <w:sz w:val="18"/>
          <w:szCs w:val="18"/>
        </w:rPr>
        <w:t>6</w:t>
      </w:r>
      <w:r w:rsidR="00783C39" w:rsidRPr="007D353E">
        <w:rPr>
          <w:rFonts w:cs="Tahoma"/>
          <w:sz w:val="18"/>
          <w:szCs w:val="18"/>
        </w:rPr>
        <w:t xml:space="preserve"> de </w:t>
      </w:r>
      <w:hyperlink r:id="rId15" w:history="1">
        <w:r w:rsidR="00783C39" w:rsidRPr="007D353E">
          <w:rPr>
            <w:rStyle w:val="Hipervnculo"/>
            <w:rFonts w:cs="Tahoma"/>
            <w:sz w:val="18"/>
            <w:szCs w:val="18"/>
          </w:rPr>
          <w:t>https://pjenlinea3.poder-judicial.go.cr/estadisticasoij/</w:t>
        </w:r>
      </w:hyperlink>
    </w:p>
    <w:p w14:paraId="06CD3EE6" w14:textId="108C5F3E" w:rsidR="00783C39" w:rsidRPr="005E5A63" w:rsidRDefault="005E5A63" w:rsidP="002F477A">
      <w:pPr>
        <w:spacing w:after="0"/>
        <w:ind w:left="-1276" w:right="-1140"/>
        <w:jc w:val="both"/>
        <w:rPr>
          <w:rFonts w:cs="Tahoma"/>
          <w:bCs/>
          <w:color w:val="0563C1" w:themeColor="hyperlink"/>
          <w:sz w:val="18"/>
          <w:szCs w:val="18"/>
          <w:u w:val="single"/>
        </w:rPr>
      </w:pPr>
      <w:r w:rsidRPr="005E5A63">
        <w:rPr>
          <w:rFonts w:cs="Tahoma"/>
          <w:bCs/>
          <w:sz w:val="18"/>
          <w:szCs w:val="18"/>
        </w:rPr>
        <w:t>Los resultados correspondientes a los años 2023 y 2024 se extrajeron del Informe Anual del PNDIP de dichos períodos de seguimiento.</w:t>
      </w:r>
    </w:p>
    <w:p w14:paraId="6C89AF54" w14:textId="77777777" w:rsidR="005E5A63" w:rsidRPr="0073029B" w:rsidRDefault="005E5A63" w:rsidP="00B34280">
      <w:pPr>
        <w:spacing w:after="0"/>
        <w:ind w:left="-426" w:right="-394"/>
        <w:jc w:val="both"/>
        <w:rPr>
          <w:rFonts w:cs="Tahoma"/>
          <w:sz w:val="18"/>
          <w:szCs w:val="18"/>
        </w:rPr>
      </w:pPr>
    </w:p>
    <w:tbl>
      <w:tblPr>
        <w:tblW w:w="5975" w:type="pct"/>
        <w:jc w:val="center"/>
        <w:tblLayout w:type="fixed"/>
        <w:tblCellMar>
          <w:left w:w="70" w:type="dxa"/>
          <w:right w:w="70" w:type="dxa"/>
        </w:tblCellMar>
        <w:tblLook w:val="04A0" w:firstRow="1" w:lastRow="0" w:firstColumn="1" w:lastColumn="0" w:noHBand="0" w:noVBand="1"/>
      </w:tblPr>
      <w:tblGrid>
        <w:gridCol w:w="3314"/>
        <w:gridCol w:w="798"/>
        <w:gridCol w:w="1329"/>
        <w:gridCol w:w="160"/>
        <w:gridCol w:w="2195"/>
        <w:gridCol w:w="1875"/>
        <w:gridCol w:w="2319"/>
        <w:gridCol w:w="2063"/>
      </w:tblGrid>
      <w:tr w:rsidR="00F54B6C" w:rsidRPr="0073029B" w14:paraId="0BCA9408" w14:textId="77777777" w:rsidTr="002F477A">
        <w:trPr>
          <w:trHeight w:val="20"/>
          <w:tblHeader/>
          <w:jc w:val="center"/>
        </w:trPr>
        <w:tc>
          <w:tcPr>
            <w:tcW w:w="1179" w:type="pct"/>
            <w:tcBorders>
              <w:top w:val="single" w:sz="4" w:space="0" w:color="auto"/>
              <w:bottom w:val="single" w:sz="4" w:space="0" w:color="auto"/>
            </w:tcBorders>
            <w:shd w:val="clear" w:color="auto" w:fill="C00000"/>
            <w:vAlign w:val="center"/>
          </w:tcPr>
          <w:bookmarkEnd w:id="5"/>
          <w:p w14:paraId="510F51D6" w14:textId="77777777" w:rsidR="00F54B6C" w:rsidRPr="0073029B" w:rsidRDefault="00F54B6C" w:rsidP="002B481E">
            <w:pPr>
              <w:spacing w:after="0" w:line="240" w:lineRule="auto"/>
              <w:ind w:left="70"/>
              <w:rPr>
                <w:rFonts w:eastAsia="Times New Roman" w:cs="Tahoma"/>
                <w:b/>
                <w:bCs/>
                <w:color w:val="FFFFFF" w:themeColor="background1"/>
                <w:sz w:val="18"/>
                <w:szCs w:val="18"/>
                <w:lang w:eastAsia="es-CR"/>
              </w:rPr>
            </w:pPr>
            <w:r w:rsidRPr="0073029B">
              <w:rPr>
                <w:rFonts w:eastAsia="Times New Roman" w:cs="Tahoma"/>
                <w:b/>
                <w:color w:val="FFFFFF"/>
                <w:sz w:val="18"/>
                <w:szCs w:val="18"/>
                <w:lang w:eastAsia="es-CR"/>
              </w:rPr>
              <w:t>Objetivo sectorial</w:t>
            </w:r>
          </w:p>
        </w:tc>
        <w:tc>
          <w:tcPr>
            <w:tcW w:w="3821" w:type="pct"/>
            <w:gridSpan w:val="7"/>
            <w:tcBorders>
              <w:top w:val="single" w:sz="4" w:space="0" w:color="auto"/>
              <w:bottom w:val="single" w:sz="4" w:space="0" w:color="auto"/>
            </w:tcBorders>
            <w:shd w:val="clear" w:color="auto" w:fill="C00000"/>
            <w:vAlign w:val="center"/>
          </w:tcPr>
          <w:p w14:paraId="53C370C8" w14:textId="77777777" w:rsidR="00F54B6C" w:rsidRPr="0073029B" w:rsidRDefault="00F54B6C" w:rsidP="005B79CC">
            <w:pPr>
              <w:spacing w:after="0" w:line="240" w:lineRule="auto"/>
              <w:jc w:val="both"/>
              <w:rPr>
                <w:rFonts w:eastAsia="Times New Roman" w:cs="Tahoma"/>
                <w:color w:val="000000"/>
                <w:sz w:val="18"/>
                <w:szCs w:val="18"/>
                <w:lang w:eastAsia="es-CR"/>
              </w:rPr>
            </w:pPr>
            <w:r w:rsidRPr="0073029B">
              <w:rPr>
                <w:rFonts w:eastAsia="Times New Roman" w:cs="Tahoma"/>
                <w:b/>
                <w:color w:val="FFFFFF" w:themeColor="background1"/>
                <w:sz w:val="18"/>
                <w:szCs w:val="18"/>
                <w:lang w:eastAsia="es-CR"/>
              </w:rPr>
              <w:t>B. Ejecutar la Estrategia Nacional para el combate del Acoso y Hostigamiento Sexual contra las Mujeres, en el marco de la Política Nacional PLANOVI.</w:t>
            </w:r>
          </w:p>
        </w:tc>
      </w:tr>
      <w:tr w:rsidR="00F54B6C" w:rsidRPr="0073029B" w14:paraId="4D834F9A" w14:textId="77777777" w:rsidTr="002F477A">
        <w:trPr>
          <w:trHeight w:val="20"/>
          <w:tblHeader/>
          <w:jc w:val="center"/>
        </w:trPr>
        <w:tc>
          <w:tcPr>
            <w:tcW w:w="1179" w:type="pct"/>
            <w:tcBorders>
              <w:top w:val="single" w:sz="4" w:space="0" w:color="auto"/>
              <w:bottom w:val="single" w:sz="4" w:space="0" w:color="auto"/>
            </w:tcBorders>
            <w:shd w:val="clear" w:color="auto" w:fill="C00000"/>
            <w:vAlign w:val="center"/>
          </w:tcPr>
          <w:p w14:paraId="759DB58B" w14:textId="77777777" w:rsidR="00F54B6C" w:rsidRPr="0073029B" w:rsidRDefault="00F54B6C" w:rsidP="005B79CC">
            <w:pPr>
              <w:spacing w:after="0" w:line="240" w:lineRule="auto"/>
              <w:rPr>
                <w:rFonts w:eastAsia="Times New Roman" w:cs="Tahoma"/>
                <w:b/>
                <w:bCs/>
                <w:color w:val="FFFFFF" w:themeColor="background1"/>
                <w:sz w:val="18"/>
                <w:szCs w:val="18"/>
                <w:lang w:eastAsia="es-CR"/>
              </w:rPr>
            </w:pPr>
            <w:r w:rsidRPr="0073029B">
              <w:rPr>
                <w:rFonts w:eastAsia="Times New Roman" w:cs="Tahoma"/>
                <w:b/>
                <w:color w:val="FFFFFF"/>
                <w:sz w:val="18"/>
                <w:szCs w:val="18"/>
                <w:lang w:eastAsia="es-CR"/>
              </w:rPr>
              <w:t>Indicador</w:t>
            </w:r>
          </w:p>
        </w:tc>
        <w:tc>
          <w:tcPr>
            <w:tcW w:w="3821" w:type="pct"/>
            <w:gridSpan w:val="7"/>
            <w:tcBorders>
              <w:top w:val="single" w:sz="4" w:space="0" w:color="auto"/>
              <w:bottom w:val="single" w:sz="4" w:space="0" w:color="auto"/>
            </w:tcBorders>
            <w:shd w:val="clear" w:color="auto" w:fill="C00000"/>
            <w:vAlign w:val="center"/>
          </w:tcPr>
          <w:p w14:paraId="3E4A9001" w14:textId="388624BA" w:rsidR="00F54B6C" w:rsidRPr="0073029B" w:rsidRDefault="00F54B6C" w:rsidP="005B79CC">
            <w:pPr>
              <w:spacing w:after="0" w:line="240" w:lineRule="auto"/>
              <w:jc w:val="both"/>
              <w:rPr>
                <w:rFonts w:eastAsia="Times New Roman" w:cs="Tahoma"/>
                <w:color w:val="000000"/>
                <w:sz w:val="18"/>
                <w:szCs w:val="18"/>
                <w:lang w:eastAsia="es-CR"/>
              </w:rPr>
            </w:pPr>
            <w:r w:rsidRPr="0073029B">
              <w:rPr>
                <w:rFonts w:eastAsia="Times New Roman" w:cs="Tahoma"/>
                <w:b/>
                <w:color w:val="FFFFFF" w:themeColor="background1"/>
                <w:sz w:val="18"/>
                <w:szCs w:val="18"/>
                <w:lang w:eastAsia="es-CR"/>
              </w:rPr>
              <w:t xml:space="preserve">2.1 </w:t>
            </w:r>
            <w:r w:rsidR="00003EB3" w:rsidRPr="0073029B">
              <w:rPr>
                <w:rFonts w:eastAsia="Times New Roman" w:cs="Tahoma"/>
                <w:b/>
                <w:color w:val="FFFFFF" w:themeColor="background1"/>
                <w:sz w:val="18"/>
                <w:szCs w:val="18"/>
                <w:lang w:eastAsia="es-CR"/>
              </w:rPr>
              <w:t>Porcentaje de</w:t>
            </w:r>
            <w:r w:rsidRPr="0073029B">
              <w:rPr>
                <w:rFonts w:eastAsia="Times New Roman" w:cs="Tahoma"/>
                <w:b/>
                <w:color w:val="FFFFFF" w:themeColor="background1"/>
                <w:sz w:val="18"/>
                <w:szCs w:val="18"/>
                <w:lang w:eastAsia="es-CR"/>
              </w:rPr>
              <w:t xml:space="preserve"> avance en la ejecución de la Estrategia Nacional para el Combate del Acoso y Hostigamiento Sexual contra las Mujeres, con respecto a los cinco ejes de trabajo. (RUTA DEGÉNERO)</w:t>
            </w:r>
          </w:p>
        </w:tc>
      </w:tr>
      <w:tr w:rsidR="00ED6AE3" w:rsidRPr="0073029B" w14:paraId="10AB7290" w14:textId="77777777" w:rsidTr="002F477A">
        <w:trPr>
          <w:trHeight w:val="300"/>
          <w:jc w:val="center"/>
        </w:trPr>
        <w:tc>
          <w:tcPr>
            <w:tcW w:w="1463" w:type="pct"/>
            <w:gridSpan w:val="2"/>
            <w:tcBorders>
              <w:top w:val="single" w:sz="4" w:space="0" w:color="auto"/>
              <w:bottom w:val="single" w:sz="4" w:space="0" w:color="auto"/>
            </w:tcBorders>
            <w:shd w:val="clear" w:color="auto" w:fill="C00000"/>
            <w:vAlign w:val="center"/>
          </w:tcPr>
          <w:p w14:paraId="4191AD99" w14:textId="77777777" w:rsidR="005D1F4E" w:rsidRPr="0073029B" w:rsidRDefault="005D1F4E" w:rsidP="005B79CC">
            <w:pPr>
              <w:spacing w:after="0" w:line="240" w:lineRule="auto"/>
              <w:jc w:val="center"/>
              <w:rPr>
                <w:rFonts w:eastAsia="Times New Roman" w:cs="Tahoma"/>
                <w:color w:val="FFFFFF"/>
                <w:sz w:val="18"/>
                <w:szCs w:val="18"/>
                <w:lang w:eastAsia="es-CR"/>
              </w:rPr>
            </w:pPr>
            <w:r w:rsidRPr="0073029B">
              <w:rPr>
                <w:rFonts w:eastAsia="Times New Roman" w:cs="Tahoma"/>
                <w:color w:val="FFFFFF"/>
                <w:sz w:val="18"/>
                <w:szCs w:val="18"/>
                <w:lang w:eastAsia="es-CR"/>
              </w:rPr>
              <w:t xml:space="preserve">Meta del período y anual </w:t>
            </w:r>
          </w:p>
        </w:tc>
        <w:tc>
          <w:tcPr>
            <w:tcW w:w="473" w:type="pct"/>
            <w:tcBorders>
              <w:top w:val="single" w:sz="4" w:space="0" w:color="auto"/>
              <w:bottom w:val="single" w:sz="4" w:space="0" w:color="auto"/>
            </w:tcBorders>
            <w:shd w:val="clear" w:color="auto" w:fill="003A70"/>
            <w:vAlign w:val="center"/>
          </w:tcPr>
          <w:p w14:paraId="0CBD9A95" w14:textId="77777777" w:rsidR="005D1F4E" w:rsidRPr="0073029B" w:rsidRDefault="005D1F4E" w:rsidP="005B79CC">
            <w:pPr>
              <w:autoSpaceDE w:val="0"/>
              <w:autoSpaceDN w:val="0"/>
              <w:adjustRightInd w:val="0"/>
              <w:spacing w:after="0" w:line="240" w:lineRule="auto"/>
              <w:jc w:val="center"/>
              <w:rPr>
                <w:rFonts w:eastAsia="Times New Roman" w:cs="Tahoma"/>
                <w:color w:val="FFFFFF"/>
                <w:sz w:val="18"/>
                <w:szCs w:val="18"/>
                <w:lang w:eastAsia="es-CR"/>
              </w:rPr>
            </w:pPr>
            <w:r w:rsidRPr="0073029B">
              <w:rPr>
                <w:rFonts w:eastAsia="Times New Roman" w:cs="Tahoma"/>
                <w:color w:val="FFFFFF"/>
                <w:sz w:val="18"/>
                <w:szCs w:val="18"/>
                <w:lang w:eastAsia="es-CR"/>
              </w:rPr>
              <w:t>Línea base</w:t>
            </w:r>
          </w:p>
        </w:tc>
        <w:tc>
          <w:tcPr>
            <w:tcW w:w="57" w:type="pct"/>
            <w:tcBorders>
              <w:top w:val="single" w:sz="4" w:space="0" w:color="auto"/>
            </w:tcBorders>
            <w:shd w:val="clear" w:color="auto" w:fill="auto"/>
            <w:noWrap/>
            <w:vAlign w:val="bottom"/>
          </w:tcPr>
          <w:p w14:paraId="60DFEAFE" w14:textId="77777777" w:rsidR="005D1F4E" w:rsidRPr="0073029B" w:rsidRDefault="005D1F4E" w:rsidP="005B79CC">
            <w:pPr>
              <w:spacing w:after="0" w:line="240" w:lineRule="auto"/>
              <w:jc w:val="center"/>
              <w:rPr>
                <w:rFonts w:eastAsia="Times New Roman" w:cs="Tahoma"/>
                <w:sz w:val="18"/>
                <w:szCs w:val="18"/>
                <w:lang w:eastAsia="es-CR"/>
              </w:rPr>
            </w:pPr>
          </w:p>
        </w:tc>
        <w:tc>
          <w:tcPr>
            <w:tcW w:w="781" w:type="pct"/>
            <w:tcBorders>
              <w:top w:val="single" w:sz="4" w:space="0" w:color="auto"/>
              <w:bottom w:val="single" w:sz="4" w:space="0" w:color="auto"/>
            </w:tcBorders>
            <w:shd w:val="clear" w:color="auto" w:fill="003A70"/>
            <w:vAlign w:val="center"/>
          </w:tcPr>
          <w:p w14:paraId="0946FA34" w14:textId="77777777" w:rsidR="005D1F4E" w:rsidRPr="0073029B" w:rsidRDefault="005D1F4E" w:rsidP="005B79CC">
            <w:pPr>
              <w:spacing w:after="0" w:line="240" w:lineRule="auto"/>
              <w:jc w:val="center"/>
              <w:rPr>
                <w:rFonts w:cs="Tahoma"/>
                <w:b/>
                <w:bCs/>
                <w:color w:val="FFFFFF"/>
                <w:sz w:val="18"/>
                <w:szCs w:val="18"/>
              </w:rPr>
            </w:pPr>
            <w:r w:rsidRPr="0073029B">
              <w:rPr>
                <w:rFonts w:cs="Tahoma"/>
                <w:b/>
                <w:bCs/>
                <w:color w:val="FFFFFF"/>
                <w:sz w:val="18"/>
                <w:szCs w:val="18"/>
              </w:rPr>
              <w:t>Meta Anual</w:t>
            </w:r>
          </w:p>
        </w:tc>
        <w:tc>
          <w:tcPr>
            <w:tcW w:w="667" w:type="pct"/>
            <w:tcBorders>
              <w:top w:val="single" w:sz="4" w:space="0" w:color="auto"/>
              <w:bottom w:val="single" w:sz="4" w:space="0" w:color="auto"/>
            </w:tcBorders>
            <w:shd w:val="clear" w:color="auto" w:fill="003A70"/>
            <w:vAlign w:val="center"/>
          </w:tcPr>
          <w:p w14:paraId="0B1CB047" w14:textId="77777777" w:rsidR="005D1F4E" w:rsidRDefault="005D1F4E" w:rsidP="005B79CC">
            <w:pPr>
              <w:spacing w:after="0" w:line="240" w:lineRule="auto"/>
              <w:jc w:val="center"/>
              <w:rPr>
                <w:rFonts w:cs="Tahoma"/>
                <w:b/>
                <w:bCs/>
                <w:color w:val="FFFFFF"/>
                <w:sz w:val="18"/>
                <w:szCs w:val="18"/>
              </w:rPr>
            </w:pPr>
            <w:r w:rsidRPr="0073029B">
              <w:rPr>
                <w:rFonts w:cs="Tahoma"/>
                <w:b/>
                <w:bCs/>
                <w:color w:val="FFFFFF"/>
                <w:sz w:val="18"/>
                <w:szCs w:val="18"/>
              </w:rPr>
              <w:t xml:space="preserve">% de cumplimiento </w:t>
            </w:r>
          </w:p>
          <w:p w14:paraId="02F94DE6" w14:textId="18CF6AB3" w:rsidR="00C55BCB" w:rsidRPr="0073029B" w:rsidRDefault="00C55BCB" w:rsidP="005B79CC">
            <w:pPr>
              <w:spacing w:after="0" w:line="240" w:lineRule="auto"/>
              <w:jc w:val="center"/>
              <w:rPr>
                <w:rFonts w:eastAsia="Times New Roman" w:cs="Tahoma"/>
                <w:b/>
                <w:sz w:val="18"/>
                <w:szCs w:val="18"/>
                <w:lang w:eastAsia="es-CR"/>
              </w:rPr>
            </w:pPr>
          </w:p>
        </w:tc>
        <w:tc>
          <w:tcPr>
            <w:tcW w:w="825" w:type="pct"/>
            <w:tcBorders>
              <w:top w:val="single" w:sz="4" w:space="0" w:color="auto"/>
              <w:bottom w:val="single" w:sz="4" w:space="0" w:color="auto"/>
            </w:tcBorders>
            <w:shd w:val="clear" w:color="auto" w:fill="003A70"/>
            <w:vAlign w:val="center"/>
          </w:tcPr>
          <w:p w14:paraId="2694F9F6" w14:textId="77777777" w:rsidR="005D1F4E" w:rsidRPr="0073029B" w:rsidRDefault="005D1F4E" w:rsidP="005B79CC">
            <w:pPr>
              <w:spacing w:after="0" w:line="240" w:lineRule="auto"/>
              <w:jc w:val="center"/>
              <w:rPr>
                <w:rFonts w:cs="Tahoma"/>
                <w:b/>
                <w:bCs/>
                <w:color w:val="FFFFFF"/>
                <w:sz w:val="18"/>
                <w:szCs w:val="18"/>
              </w:rPr>
            </w:pPr>
            <w:r w:rsidRPr="0073029B">
              <w:rPr>
                <w:rFonts w:cs="Tahoma"/>
                <w:b/>
                <w:bCs/>
                <w:color w:val="FFFFFF"/>
                <w:sz w:val="18"/>
                <w:szCs w:val="18"/>
              </w:rPr>
              <w:t>% de cumplimiento</w:t>
            </w:r>
          </w:p>
          <w:p w14:paraId="312E1C17" w14:textId="6C8F5ACD" w:rsidR="005D1F4E" w:rsidRPr="0073029B" w:rsidRDefault="00E12A12" w:rsidP="005B79CC">
            <w:pPr>
              <w:spacing w:after="0" w:line="240" w:lineRule="auto"/>
              <w:jc w:val="center"/>
              <w:rPr>
                <w:rFonts w:eastAsia="Times New Roman" w:cs="Tahoma"/>
                <w:b/>
                <w:sz w:val="18"/>
                <w:szCs w:val="18"/>
                <w:lang w:eastAsia="es-CR"/>
              </w:rPr>
            </w:pPr>
            <w:r w:rsidRPr="0073029B">
              <w:rPr>
                <w:rFonts w:cs="Tahoma"/>
                <w:b/>
                <w:bCs/>
                <w:color w:val="FFFFFF"/>
                <w:sz w:val="18"/>
                <w:szCs w:val="18"/>
              </w:rPr>
              <w:t>al 2025</w:t>
            </w:r>
          </w:p>
        </w:tc>
        <w:tc>
          <w:tcPr>
            <w:tcW w:w="734" w:type="pct"/>
            <w:tcBorders>
              <w:top w:val="single" w:sz="4" w:space="0" w:color="auto"/>
              <w:bottom w:val="single" w:sz="4" w:space="0" w:color="auto"/>
            </w:tcBorders>
            <w:shd w:val="clear" w:color="auto" w:fill="003A70"/>
            <w:noWrap/>
            <w:vAlign w:val="center"/>
          </w:tcPr>
          <w:p w14:paraId="3DFE4B02" w14:textId="77777777" w:rsidR="005D1F4E" w:rsidRPr="0073029B" w:rsidRDefault="005D1F4E" w:rsidP="005B79CC">
            <w:pPr>
              <w:spacing w:after="0" w:line="240" w:lineRule="auto"/>
              <w:ind w:right="1"/>
              <w:jc w:val="center"/>
              <w:rPr>
                <w:rFonts w:eastAsia="Times New Roman" w:cs="Tahoma"/>
                <w:b/>
                <w:sz w:val="18"/>
                <w:szCs w:val="18"/>
                <w:lang w:eastAsia="es-CR"/>
              </w:rPr>
            </w:pPr>
            <w:r w:rsidRPr="0073029B">
              <w:rPr>
                <w:rFonts w:cs="Tahoma"/>
                <w:b/>
                <w:bCs/>
                <w:color w:val="FFFFFF"/>
                <w:sz w:val="18"/>
                <w:szCs w:val="18"/>
              </w:rPr>
              <w:t>Clasificación de cumplimiento</w:t>
            </w:r>
          </w:p>
          <w:p w14:paraId="6478FDBF" w14:textId="24880FB2" w:rsidR="005D1F4E" w:rsidRPr="0073029B" w:rsidRDefault="005D1F4E" w:rsidP="005B79CC">
            <w:pPr>
              <w:spacing w:after="0" w:line="240" w:lineRule="auto"/>
              <w:jc w:val="center"/>
              <w:rPr>
                <w:rFonts w:eastAsia="Times New Roman" w:cs="Tahoma"/>
                <w:b/>
                <w:sz w:val="18"/>
                <w:szCs w:val="18"/>
                <w:lang w:eastAsia="es-CR"/>
              </w:rPr>
            </w:pPr>
          </w:p>
        </w:tc>
      </w:tr>
      <w:tr w:rsidR="005D1F4E" w:rsidRPr="0073029B" w14:paraId="66BFC7CF" w14:textId="77777777" w:rsidTr="002F477A">
        <w:trPr>
          <w:trHeight w:val="300"/>
          <w:jc w:val="center"/>
        </w:trPr>
        <w:tc>
          <w:tcPr>
            <w:tcW w:w="1463" w:type="pct"/>
            <w:gridSpan w:val="2"/>
            <w:tcBorders>
              <w:bottom w:val="single" w:sz="4" w:space="0" w:color="auto"/>
            </w:tcBorders>
          </w:tcPr>
          <w:p w14:paraId="1C56C08D" w14:textId="77777777" w:rsidR="005D1F4E" w:rsidRPr="0073029B" w:rsidRDefault="005D1F4E" w:rsidP="005B79CC">
            <w:pPr>
              <w:autoSpaceDE w:val="0"/>
              <w:autoSpaceDN w:val="0"/>
              <w:adjustRightInd w:val="0"/>
              <w:spacing w:after="0" w:line="240" w:lineRule="auto"/>
              <w:jc w:val="both"/>
              <w:rPr>
                <w:rFonts w:cs="Tahoma"/>
                <w:sz w:val="18"/>
                <w:szCs w:val="18"/>
              </w:rPr>
            </w:pPr>
            <w:r w:rsidRPr="0073029B">
              <w:rPr>
                <w:rFonts w:cs="Tahoma"/>
                <w:b/>
                <w:sz w:val="18"/>
                <w:szCs w:val="18"/>
              </w:rPr>
              <w:t xml:space="preserve">2023: </w:t>
            </w:r>
            <w:r w:rsidRPr="0073029B">
              <w:rPr>
                <w:rFonts w:cs="Tahoma"/>
                <w:sz w:val="18"/>
                <w:szCs w:val="18"/>
              </w:rPr>
              <w:t>Estrategia de comunicación I fase (20%).</w:t>
            </w:r>
          </w:p>
          <w:p w14:paraId="4725AA94" w14:textId="77777777" w:rsidR="005D1F4E" w:rsidRPr="0073029B" w:rsidRDefault="005D1F4E" w:rsidP="005B79CC">
            <w:pPr>
              <w:autoSpaceDE w:val="0"/>
              <w:autoSpaceDN w:val="0"/>
              <w:adjustRightInd w:val="0"/>
              <w:spacing w:after="0" w:line="240" w:lineRule="auto"/>
              <w:jc w:val="both"/>
              <w:rPr>
                <w:rFonts w:cs="Tahoma"/>
                <w:sz w:val="18"/>
                <w:szCs w:val="18"/>
              </w:rPr>
            </w:pPr>
            <w:r w:rsidRPr="0073029B">
              <w:rPr>
                <w:rFonts w:cs="Tahoma"/>
                <w:b/>
                <w:sz w:val="18"/>
                <w:szCs w:val="18"/>
              </w:rPr>
              <w:t>2024:</w:t>
            </w:r>
            <w:r w:rsidRPr="0073029B">
              <w:rPr>
                <w:rFonts w:cs="Tahoma"/>
                <w:sz w:val="18"/>
                <w:szCs w:val="18"/>
              </w:rPr>
              <w:t xml:space="preserve"> Centros de denuncia (puntos violetas) (30%).</w:t>
            </w:r>
          </w:p>
          <w:p w14:paraId="0B0DC2F1" w14:textId="77777777" w:rsidR="005D1F4E" w:rsidRPr="0073029B" w:rsidRDefault="005D1F4E" w:rsidP="005B79CC">
            <w:pPr>
              <w:autoSpaceDE w:val="0"/>
              <w:autoSpaceDN w:val="0"/>
              <w:adjustRightInd w:val="0"/>
              <w:spacing w:after="0" w:line="240" w:lineRule="auto"/>
              <w:jc w:val="both"/>
              <w:rPr>
                <w:rFonts w:cs="Tahoma"/>
                <w:sz w:val="18"/>
                <w:szCs w:val="18"/>
              </w:rPr>
            </w:pPr>
            <w:r w:rsidRPr="0073029B">
              <w:rPr>
                <w:rFonts w:cs="Tahoma"/>
                <w:b/>
                <w:sz w:val="18"/>
                <w:szCs w:val="18"/>
              </w:rPr>
              <w:t>2025:</w:t>
            </w:r>
            <w:r w:rsidRPr="0073029B">
              <w:rPr>
                <w:rFonts w:cs="Tahoma"/>
                <w:sz w:val="18"/>
                <w:szCs w:val="18"/>
              </w:rPr>
              <w:t xml:space="preserve"> Mecanismos de auxilio (20%).</w:t>
            </w:r>
          </w:p>
          <w:p w14:paraId="29FC3C7E" w14:textId="77777777" w:rsidR="005D1F4E" w:rsidRPr="0073029B" w:rsidRDefault="005D1F4E" w:rsidP="005B79CC">
            <w:pPr>
              <w:autoSpaceDE w:val="0"/>
              <w:autoSpaceDN w:val="0"/>
              <w:adjustRightInd w:val="0"/>
              <w:spacing w:after="0" w:line="240" w:lineRule="auto"/>
              <w:jc w:val="both"/>
              <w:rPr>
                <w:rFonts w:cs="Tahoma"/>
                <w:sz w:val="18"/>
                <w:szCs w:val="18"/>
              </w:rPr>
            </w:pPr>
            <w:r w:rsidRPr="0073029B">
              <w:rPr>
                <w:rFonts w:cs="Tahoma"/>
                <w:b/>
                <w:sz w:val="18"/>
                <w:szCs w:val="18"/>
              </w:rPr>
              <w:t>2025:</w:t>
            </w:r>
            <w:r w:rsidRPr="0073029B">
              <w:rPr>
                <w:rFonts w:cs="Tahoma"/>
                <w:sz w:val="18"/>
                <w:szCs w:val="18"/>
              </w:rPr>
              <w:t xml:space="preserve"> Estrategia de comunicación</w:t>
            </w:r>
          </w:p>
          <w:p w14:paraId="4CA9764E" w14:textId="77777777" w:rsidR="005D1F4E" w:rsidRPr="0073029B" w:rsidRDefault="005D1F4E" w:rsidP="005B79CC">
            <w:pPr>
              <w:autoSpaceDE w:val="0"/>
              <w:autoSpaceDN w:val="0"/>
              <w:adjustRightInd w:val="0"/>
              <w:spacing w:after="0" w:line="240" w:lineRule="auto"/>
              <w:jc w:val="both"/>
              <w:rPr>
                <w:rFonts w:cs="Tahoma"/>
                <w:sz w:val="18"/>
                <w:szCs w:val="18"/>
              </w:rPr>
            </w:pPr>
            <w:r w:rsidRPr="0073029B">
              <w:rPr>
                <w:rFonts w:cs="Tahoma"/>
                <w:sz w:val="18"/>
                <w:szCs w:val="18"/>
              </w:rPr>
              <w:t>II fase (10%)</w:t>
            </w:r>
          </w:p>
          <w:p w14:paraId="1C2C6195" w14:textId="77777777" w:rsidR="005D1F4E" w:rsidRPr="0073029B" w:rsidRDefault="005D1F4E" w:rsidP="005B79CC">
            <w:pPr>
              <w:spacing w:after="0" w:line="240" w:lineRule="auto"/>
              <w:jc w:val="both"/>
              <w:rPr>
                <w:rFonts w:eastAsia="Times New Roman" w:cs="Tahoma"/>
                <w:color w:val="000000"/>
                <w:sz w:val="18"/>
                <w:szCs w:val="18"/>
                <w:lang w:eastAsia="es-CR"/>
              </w:rPr>
            </w:pPr>
            <w:r w:rsidRPr="0073029B">
              <w:rPr>
                <w:rFonts w:cs="Tahoma"/>
                <w:b/>
                <w:sz w:val="18"/>
                <w:szCs w:val="18"/>
              </w:rPr>
              <w:t>2026:</w:t>
            </w:r>
            <w:r w:rsidRPr="0073029B">
              <w:rPr>
                <w:rFonts w:cs="Tahoma"/>
                <w:sz w:val="18"/>
                <w:szCs w:val="18"/>
              </w:rPr>
              <w:t xml:space="preserve"> Marco legal de la estrategia (20%).</w:t>
            </w:r>
          </w:p>
        </w:tc>
        <w:tc>
          <w:tcPr>
            <w:tcW w:w="473" w:type="pct"/>
            <w:tcBorders>
              <w:bottom w:val="single" w:sz="4" w:space="0" w:color="auto"/>
            </w:tcBorders>
          </w:tcPr>
          <w:p w14:paraId="6DA86366" w14:textId="77777777" w:rsidR="005D1F4E" w:rsidRPr="0073029B" w:rsidRDefault="005D1F4E" w:rsidP="005B79CC">
            <w:pPr>
              <w:spacing w:after="0" w:line="240" w:lineRule="auto"/>
              <w:jc w:val="center"/>
              <w:rPr>
                <w:rFonts w:eastAsia="Times New Roman" w:cs="Tahoma"/>
                <w:color w:val="000000"/>
                <w:sz w:val="18"/>
                <w:szCs w:val="18"/>
                <w:lang w:eastAsia="es-CR"/>
              </w:rPr>
            </w:pPr>
            <w:r w:rsidRPr="0073029B">
              <w:rPr>
                <w:rFonts w:cs="Tahoma"/>
                <w:sz w:val="18"/>
                <w:szCs w:val="18"/>
              </w:rPr>
              <w:t>0%</w:t>
            </w:r>
          </w:p>
        </w:tc>
        <w:tc>
          <w:tcPr>
            <w:tcW w:w="57" w:type="pct"/>
            <w:tcBorders>
              <w:bottom w:val="single" w:sz="4" w:space="0" w:color="auto"/>
            </w:tcBorders>
            <w:shd w:val="clear" w:color="auto" w:fill="auto"/>
            <w:noWrap/>
          </w:tcPr>
          <w:p w14:paraId="6FFA2AD3" w14:textId="77777777" w:rsidR="005D1F4E" w:rsidRPr="0073029B" w:rsidRDefault="005D1F4E" w:rsidP="005B79CC">
            <w:pPr>
              <w:spacing w:after="0" w:line="240" w:lineRule="auto"/>
              <w:jc w:val="center"/>
              <w:rPr>
                <w:rFonts w:eastAsia="Times New Roman" w:cs="Tahoma"/>
                <w:sz w:val="18"/>
                <w:szCs w:val="18"/>
                <w:lang w:eastAsia="es-CR"/>
              </w:rPr>
            </w:pPr>
          </w:p>
        </w:tc>
        <w:tc>
          <w:tcPr>
            <w:tcW w:w="781" w:type="pct"/>
            <w:tcBorders>
              <w:top w:val="single" w:sz="4" w:space="0" w:color="auto"/>
              <w:bottom w:val="single" w:sz="4" w:space="0" w:color="auto"/>
            </w:tcBorders>
          </w:tcPr>
          <w:p w14:paraId="246EFF32" w14:textId="2089543C" w:rsidR="005D1F4E" w:rsidRPr="005F5FB0" w:rsidRDefault="005D1F4E" w:rsidP="002723FA">
            <w:pPr>
              <w:autoSpaceDE w:val="0"/>
              <w:autoSpaceDN w:val="0"/>
              <w:adjustRightInd w:val="0"/>
              <w:spacing w:after="0" w:line="240" w:lineRule="auto"/>
              <w:jc w:val="both"/>
              <w:rPr>
                <w:rFonts w:eastAsia="Times New Roman" w:cs="Tahoma"/>
                <w:bCs/>
                <w:sz w:val="18"/>
                <w:szCs w:val="18"/>
                <w:lang w:eastAsia="es-CR"/>
              </w:rPr>
            </w:pPr>
            <w:r w:rsidRPr="005F5FB0">
              <w:rPr>
                <w:rFonts w:eastAsia="Times New Roman" w:cs="Tahoma"/>
                <w:b/>
                <w:sz w:val="18"/>
                <w:szCs w:val="18"/>
                <w:lang w:eastAsia="es-CR"/>
              </w:rPr>
              <w:t xml:space="preserve">2025: </w:t>
            </w:r>
            <w:r w:rsidRPr="005F5FB0">
              <w:rPr>
                <w:rFonts w:eastAsia="Times New Roman" w:cs="Tahoma"/>
                <w:bCs/>
                <w:sz w:val="18"/>
                <w:szCs w:val="18"/>
                <w:lang w:eastAsia="es-CR"/>
              </w:rPr>
              <w:t>30%</w:t>
            </w:r>
          </w:p>
          <w:p w14:paraId="20177D92" w14:textId="77777777" w:rsidR="00C55BCB" w:rsidRPr="005F5FB0" w:rsidRDefault="00C55BCB" w:rsidP="002723FA">
            <w:pPr>
              <w:autoSpaceDE w:val="0"/>
              <w:autoSpaceDN w:val="0"/>
              <w:adjustRightInd w:val="0"/>
              <w:spacing w:after="0" w:line="240" w:lineRule="auto"/>
              <w:jc w:val="both"/>
              <w:rPr>
                <w:rFonts w:eastAsia="Times New Roman" w:cs="Tahoma"/>
                <w:b/>
                <w:sz w:val="18"/>
                <w:szCs w:val="18"/>
                <w:lang w:eastAsia="es-CR"/>
              </w:rPr>
            </w:pPr>
          </w:p>
          <w:p w14:paraId="127F0293" w14:textId="1AFAD94C" w:rsidR="005D1F4E" w:rsidRPr="005F5FB0" w:rsidRDefault="005D1F4E" w:rsidP="00E12A12">
            <w:pPr>
              <w:autoSpaceDE w:val="0"/>
              <w:autoSpaceDN w:val="0"/>
              <w:adjustRightInd w:val="0"/>
              <w:spacing w:after="0" w:line="240" w:lineRule="auto"/>
              <w:rPr>
                <w:rFonts w:cs="Tahoma"/>
                <w:sz w:val="18"/>
                <w:szCs w:val="18"/>
              </w:rPr>
            </w:pPr>
            <w:r w:rsidRPr="005F5FB0">
              <w:rPr>
                <w:rFonts w:cs="Tahoma"/>
                <w:sz w:val="18"/>
                <w:szCs w:val="18"/>
              </w:rPr>
              <w:t>Mecanismos de auxilio (20%).</w:t>
            </w:r>
          </w:p>
          <w:p w14:paraId="1DCC2064" w14:textId="77777777" w:rsidR="005D1F4E" w:rsidRPr="005F5FB0" w:rsidRDefault="005D1F4E" w:rsidP="00E12A12">
            <w:pPr>
              <w:autoSpaceDE w:val="0"/>
              <w:autoSpaceDN w:val="0"/>
              <w:adjustRightInd w:val="0"/>
              <w:spacing w:after="0" w:line="240" w:lineRule="auto"/>
              <w:rPr>
                <w:rFonts w:cs="Tahoma"/>
                <w:sz w:val="18"/>
                <w:szCs w:val="18"/>
              </w:rPr>
            </w:pPr>
            <w:r w:rsidRPr="005F5FB0">
              <w:rPr>
                <w:rFonts w:cs="Tahoma"/>
                <w:sz w:val="18"/>
                <w:szCs w:val="18"/>
              </w:rPr>
              <w:t>Estrategia de comunicación</w:t>
            </w:r>
          </w:p>
          <w:p w14:paraId="2EFEDBEC" w14:textId="77777777" w:rsidR="00C55BCB" w:rsidRPr="005F5FB0" w:rsidRDefault="005D1F4E" w:rsidP="00E12A12">
            <w:pPr>
              <w:autoSpaceDE w:val="0"/>
              <w:autoSpaceDN w:val="0"/>
              <w:adjustRightInd w:val="0"/>
              <w:spacing w:after="0" w:line="240" w:lineRule="auto"/>
              <w:rPr>
                <w:rFonts w:eastAsia="Times New Roman" w:cs="Tahoma"/>
                <w:b/>
                <w:sz w:val="18"/>
                <w:szCs w:val="18"/>
                <w:lang w:eastAsia="es-CR"/>
              </w:rPr>
            </w:pPr>
            <w:r w:rsidRPr="005F5FB0">
              <w:rPr>
                <w:rFonts w:cs="Tahoma"/>
                <w:sz w:val="18"/>
                <w:szCs w:val="18"/>
              </w:rPr>
              <w:t>II fase (10%)</w:t>
            </w:r>
            <w:r w:rsidR="00C55BCB" w:rsidRPr="005F5FB0">
              <w:rPr>
                <w:rFonts w:eastAsia="Times New Roman" w:cs="Tahoma"/>
                <w:b/>
                <w:sz w:val="18"/>
                <w:szCs w:val="18"/>
                <w:lang w:eastAsia="es-CR"/>
              </w:rPr>
              <w:t xml:space="preserve"> </w:t>
            </w:r>
          </w:p>
          <w:p w14:paraId="15A29233" w14:textId="77777777" w:rsidR="00C55BCB" w:rsidRPr="005F5FB0" w:rsidRDefault="00C55BCB" w:rsidP="00C55BCB">
            <w:pPr>
              <w:autoSpaceDE w:val="0"/>
              <w:autoSpaceDN w:val="0"/>
              <w:adjustRightInd w:val="0"/>
              <w:spacing w:after="0" w:line="240" w:lineRule="auto"/>
              <w:jc w:val="both"/>
              <w:rPr>
                <w:rFonts w:eastAsia="Times New Roman" w:cs="Tahoma"/>
                <w:b/>
                <w:sz w:val="18"/>
                <w:szCs w:val="18"/>
                <w:lang w:eastAsia="es-CR"/>
              </w:rPr>
            </w:pPr>
          </w:p>
          <w:p w14:paraId="4D99ADE6" w14:textId="0247C022" w:rsidR="00C55BCB" w:rsidRPr="005F5FB0" w:rsidRDefault="00C55BCB" w:rsidP="00C55BCB">
            <w:pPr>
              <w:autoSpaceDE w:val="0"/>
              <w:autoSpaceDN w:val="0"/>
              <w:adjustRightInd w:val="0"/>
              <w:spacing w:after="0" w:line="240" w:lineRule="auto"/>
              <w:jc w:val="both"/>
              <w:rPr>
                <w:rFonts w:eastAsia="Times New Roman" w:cs="Tahoma"/>
                <w:b/>
                <w:sz w:val="18"/>
                <w:szCs w:val="18"/>
                <w:lang w:eastAsia="es-CR"/>
              </w:rPr>
            </w:pPr>
            <w:r w:rsidRPr="005F5FB0">
              <w:rPr>
                <w:rFonts w:eastAsia="Times New Roman" w:cs="Tahoma"/>
                <w:b/>
                <w:sz w:val="18"/>
                <w:szCs w:val="18"/>
                <w:lang w:eastAsia="es-CR"/>
              </w:rPr>
              <w:t xml:space="preserve">Meta acumulada: </w:t>
            </w:r>
            <w:r w:rsidRPr="005F5FB0">
              <w:rPr>
                <w:rFonts w:eastAsia="Times New Roman" w:cs="Tahoma"/>
                <w:bCs/>
                <w:sz w:val="18"/>
                <w:szCs w:val="18"/>
                <w:lang w:eastAsia="es-CR"/>
              </w:rPr>
              <w:t>80%</w:t>
            </w:r>
          </w:p>
          <w:p w14:paraId="6B49DAB5" w14:textId="1BB1351C" w:rsidR="005D1F4E" w:rsidRPr="005F5FB0" w:rsidRDefault="005D1F4E" w:rsidP="0023399E">
            <w:pPr>
              <w:spacing w:after="0" w:line="240" w:lineRule="auto"/>
              <w:rPr>
                <w:rFonts w:eastAsia="Times New Roman" w:cs="Tahoma"/>
                <w:b/>
                <w:sz w:val="18"/>
                <w:szCs w:val="18"/>
                <w:lang w:eastAsia="es-CR"/>
              </w:rPr>
            </w:pPr>
          </w:p>
        </w:tc>
        <w:tc>
          <w:tcPr>
            <w:tcW w:w="667" w:type="pct"/>
            <w:tcBorders>
              <w:top w:val="single" w:sz="4" w:space="0" w:color="auto"/>
              <w:bottom w:val="single" w:sz="4" w:space="0" w:color="auto"/>
            </w:tcBorders>
          </w:tcPr>
          <w:p w14:paraId="799F653C" w14:textId="529B48E2" w:rsidR="00C55BCB" w:rsidRPr="005F5FB0" w:rsidRDefault="00C55BCB" w:rsidP="00E12A12">
            <w:pPr>
              <w:autoSpaceDE w:val="0"/>
              <w:autoSpaceDN w:val="0"/>
              <w:adjustRightInd w:val="0"/>
              <w:spacing w:after="0" w:line="240" w:lineRule="auto"/>
              <w:jc w:val="center"/>
              <w:rPr>
                <w:rFonts w:eastAsia="Times New Roman" w:cs="Tahoma"/>
                <w:bCs/>
                <w:sz w:val="18"/>
                <w:szCs w:val="18"/>
                <w:lang w:eastAsia="es-CR"/>
              </w:rPr>
            </w:pPr>
            <w:r w:rsidRPr="005F5FB0">
              <w:rPr>
                <w:rFonts w:eastAsia="Times New Roman" w:cs="Tahoma"/>
                <w:b/>
                <w:sz w:val="18"/>
                <w:szCs w:val="18"/>
                <w:lang w:eastAsia="es-CR"/>
              </w:rPr>
              <w:t xml:space="preserve">2025: </w:t>
            </w:r>
            <w:r w:rsidRPr="005F5FB0">
              <w:rPr>
                <w:rFonts w:eastAsia="Times New Roman" w:cs="Tahoma"/>
                <w:bCs/>
                <w:sz w:val="18"/>
                <w:szCs w:val="18"/>
                <w:lang w:eastAsia="es-CR"/>
              </w:rPr>
              <w:t>30%</w:t>
            </w:r>
          </w:p>
          <w:p w14:paraId="72FB98AB" w14:textId="77777777" w:rsidR="00C55BCB" w:rsidRPr="005F5FB0" w:rsidRDefault="00C55BCB" w:rsidP="00E12A12">
            <w:pPr>
              <w:autoSpaceDE w:val="0"/>
              <w:autoSpaceDN w:val="0"/>
              <w:adjustRightInd w:val="0"/>
              <w:spacing w:after="0" w:line="240" w:lineRule="auto"/>
              <w:jc w:val="center"/>
              <w:rPr>
                <w:rFonts w:eastAsia="Times New Roman" w:cs="Tahoma"/>
                <w:b/>
                <w:sz w:val="18"/>
                <w:szCs w:val="18"/>
                <w:lang w:eastAsia="es-CR"/>
              </w:rPr>
            </w:pPr>
          </w:p>
          <w:p w14:paraId="47EC22FC" w14:textId="77777777" w:rsidR="00E12A12" w:rsidRPr="005F5FB0" w:rsidRDefault="00E12A12" w:rsidP="00E12A12">
            <w:pPr>
              <w:autoSpaceDE w:val="0"/>
              <w:autoSpaceDN w:val="0"/>
              <w:adjustRightInd w:val="0"/>
              <w:spacing w:after="0" w:line="240" w:lineRule="auto"/>
              <w:jc w:val="center"/>
              <w:rPr>
                <w:rFonts w:eastAsia="Times New Roman" w:cs="Tahoma"/>
                <w:b/>
                <w:sz w:val="18"/>
                <w:szCs w:val="18"/>
                <w:lang w:eastAsia="es-CR"/>
              </w:rPr>
            </w:pPr>
            <w:r w:rsidRPr="005F5FB0">
              <w:rPr>
                <w:rFonts w:eastAsia="Times New Roman" w:cs="Tahoma"/>
                <w:b/>
                <w:sz w:val="18"/>
                <w:szCs w:val="18"/>
                <w:lang w:eastAsia="es-CR"/>
              </w:rPr>
              <w:t xml:space="preserve">Meta acumulada: </w:t>
            </w:r>
            <w:r w:rsidRPr="005F5FB0">
              <w:rPr>
                <w:rFonts w:eastAsia="Times New Roman" w:cs="Tahoma"/>
                <w:bCs/>
                <w:sz w:val="18"/>
                <w:szCs w:val="18"/>
                <w:lang w:eastAsia="es-CR"/>
              </w:rPr>
              <w:t>80%</w:t>
            </w:r>
          </w:p>
          <w:p w14:paraId="55B1BCBC" w14:textId="391CCB49" w:rsidR="005D1F4E" w:rsidRPr="005F5FB0" w:rsidRDefault="005D1F4E" w:rsidP="005B79CC">
            <w:pPr>
              <w:spacing w:after="0" w:line="240" w:lineRule="auto"/>
              <w:ind w:left="54"/>
              <w:jc w:val="center"/>
              <w:rPr>
                <w:rFonts w:eastAsia="Times New Roman" w:cs="Tahoma"/>
                <w:sz w:val="18"/>
                <w:szCs w:val="18"/>
                <w:lang w:eastAsia="es-CR"/>
              </w:rPr>
            </w:pPr>
          </w:p>
        </w:tc>
        <w:tc>
          <w:tcPr>
            <w:tcW w:w="825" w:type="pct"/>
            <w:tcBorders>
              <w:top w:val="single" w:sz="4" w:space="0" w:color="auto"/>
              <w:bottom w:val="single" w:sz="4" w:space="0" w:color="auto"/>
            </w:tcBorders>
          </w:tcPr>
          <w:p w14:paraId="1EA25104" w14:textId="77777777" w:rsidR="005D1F4E" w:rsidRPr="005F5FB0" w:rsidRDefault="005D1F4E" w:rsidP="005B79CC">
            <w:pPr>
              <w:spacing w:after="0" w:line="240" w:lineRule="auto"/>
              <w:ind w:left="54"/>
              <w:jc w:val="center"/>
              <w:rPr>
                <w:rFonts w:eastAsia="Times New Roman" w:cs="Tahoma"/>
                <w:b/>
                <w:sz w:val="18"/>
                <w:szCs w:val="18"/>
                <w:lang w:eastAsia="es-CR"/>
              </w:rPr>
            </w:pPr>
            <w:r w:rsidRPr="005F5FB0">
              <w:rPr>
                <w:rFonts w:eastAsia="Times New Roman" w:cs="Tahoma"/>
                <w:b/>
                <w:sz w:val="18"/>
                <w:szCs w:val="18"/>
                <w:lang w:eastAsia="es-CR"/>
              </w:rPr>
              <w:t>100%</w:t>
            </w:r>
          </w:p>
        </w:tc>
        <w:tc>
          <w:tcPr>
            <w:tcW w:w="734" w:type="pct"/>
            <w:tcBorders>
              <w:top w:val="single" w:sz="4" w:space="0" w:color="auto"/>
              <w:bottom w:val="single" w:sz="4" w:space="0" w:color="auto"/>
            </w:tcBorders>
            <w:shd w:val="clear" w:color="auto" w:fill="92D050"/>
            <w:noWrap/>
            <w:vAlign w:val="center"/>
          </w:tcPr>
          <w:p w14:paraId="561DDB26" w14:textId="77777777" w:rsidR="005D1F4E" w:rsidRPr="0073029B" w:rsidRDefault="005D1F4E" w:rsidP="005B79CC">
            <w:pPr>
              <w:spacing w:after="0" w:line="240" w:lineRule="auto"/>
              <w:jc w:val="center"/>
              <w:rPr>
                <w:rFonts w:eastAsia="Times New Roman" w:cs="Tahoma"/>
                <w:b/>
                <w:sz w:val="18"/>
                <w:szCs w:val="18"/>
                <w:lang w:eastAsia="es-CR"/>
              </w:rPr>
            </w:pPr>
            <w:r w:rsidRPr="0073029B">
              <w:rPr>
                <w:rFonts w:eastAsia="Times New Roman" w:cs="Tahoma"/>
                <w:b/>
                <w:sz w:val="18"/>
                <w:szCs w:val="18"/>
                <w:lang w:eastAsia="es-CR"/>
              </w:rPr>
              <w:t>Cumplimiento Alto</w:t>
            </w:r>
          </w:p>
          <w:p w14:paraId="526D232F" w14:textId="77777777" w:rsidR="005D1F4E" w:rsidRPr="0073029B" w:rsidRDefault="005D1F4E" w:rsidP="005B79CC">
            <w:pPr>
              <w:spacing w:after="0" w:line="240" w:lineRule="auto"/>
              <w:jc w:val="center"/>
              <w:rPr>
                <w:rFonts w:eastAsia="Times New Roman" w:cs="Tahoma"/>
                <w:sz w:val="18"/>
                <w:szCs w:val="18"/>
                <w:lang w:eastAsia="es-CR"/>
              </w:rPr>
            </w:pPr>
          </w:p>
          <w:p w14:paraId="2C58D3BD" w14:textId="185D23A0" w:rsidR="005D1F4E" w:rsidRPr="0073029B" w:rsidRDefault="005D1F4E" w:rsidP="005B79CC">
            <w:pPr>
              <w:spacing w:after="0" w:line="240" w:lineRule="auto"/>
              <w:jc w:val="both"/>
              <w:rPr>
                <w:rFonts w:eastAsia="Times New Roman" w:cs="Tahoma"/>
                <w:sz w:val="18"/>
                <w:szCs w:val="18"/>
                <w:lang w:eastAsia="es-CR"/>
              </w:rPr>
            </w:pPr>
          </w:p>
        </w:tc>
      </w:tr>
    </w:tbl>
    <w:p w14:paraId="66816372" w14:textId="3BF7C9F8" w:rsidR="005638FE" w:rsidRPr="0073029B" w:rsidRDefault="005638FE" w:rsidP="002F477A">
      <w:pPr>
        <w:ind w:left="-1134"/>
        <w:rPr>
          <w:rFonts w:cs="Tahoma"/>
          <w:sz w:val="18"/>
        </w:rPr>
      </w:pPr>
      <w:r w:rsidRPr="002F477A">
        <w:rPr>
          <w:rFonts w:cs="Tahoma"/>
          <w:b/>
          <w:sz w:val="18"/>
        </w:rPr>
        <w:t>Fuente:</w:t>
      </w:r>
      <w:r w:rsidRPr="002F477A">
        <w:rPr>
          <w:rFonts w:cs="Tahoma"/>
          <w:sz w:val="18"/>
        </w:rPr>
        <w:t xml:space="preserve"> Instituto Nacional de las Mujeres, 202</w:t>
      </w:r>
      <w:r w:rsidR="00F54B6C" w:rsidRPr="002F477A">
        <w:rPr>
          <w:rFonts w:cs="Tahoma"/>
          <w:sz w:val="18"/>
        </w:rPr>
        <w:t>6</w:t>
      </w:r>
      <w:r w:rsidRPr="002F477A">
        <w:rPr>
          <w:rFonts w:cs="Tahoma"/>
          <w:sz w:val="18"/>
        </w:rPr>
        <w:t>.</w:t>
      </w:r>
    </w:p>
    <w:p w14:paraId="365C5059" w14:textId="77777777" w:rsidR="00D65C01" w:rsidRPr="0073029B" w:rsidRDefault="00D65C01" w:rsidP="00106D96">
      <w:pPr>
        <w:pStyle w:val="Ttulo1"/>
        <w:rPr>
          <w:rFonts w:eastAsiaTheme="minorHAnsi" w:cs="Tahoma"/>
          <w:b w:val="0"/>
          <w:sz w:val="14"/>
          <w:szCs w:val="18"/>
        </w:rPr>
        <w:sectPr w:rsidR="00D65C01" w:rsidRPr="0073029B" w:rsidSect="002B481E">
          <w:headerReference w:type="default" r:id="rId16"/>
          <w:footerReference w:type="default" r:id="rId17"/>
          <w:pgSz w:w="17010" w:h="24477" w:code="3"/>
          <w:pgMar w:top="1418" w:right="2625" w:bottom="1418" w:left="2625" w:header="567" w:footer="567" w:gutter="0"/>
          <w:cols w:space="708"/>
          <w:docGrid w:linePitch="360"/>
        </w:sectPr>
      </w:pPr>
    </w:p>
    <w:p w14:paraId="21064BAD" w14:textId="35027BC3" w:rsidR="006B3D6F" w:rsidRPr="0073029B" w:rsidRDefault="006B3D6F" w:rsidP="006B3D6F">
      <w:pPr>
        <w:pStyle w:val="Ttulo2"/>
        <w:rPr>
          <w:rFonts w:cs="Tahoma"/>
        </w:rPr>
      </w:pPr>
      <w:bookmarkStart w:id="8" w:name="_Toc181002239"/>
      <w:bookmarkStart w:id="9" w:name="_Toc220401612"/>
      <w:r w:rsidRPr="0073029B">
        <w:rPr>
          <w:rFonts w:cs="Tahoma"/>
        </w:rPr>
        <w:lastRenderedPageBreak/>
        <w:t>1.1. Análisis del</w:t>
      </w:r>
      <w:bookmarkEnd w:id="8"/>
      <w:r w:rsidRPr="0073029B">
        <w:rPr>
          <w:rFonts w:cs="Tahoma"/>
        </w:rPr>
        <w:t xml:space="preserve"> </w:t>
      </w:r>
      <w:r w:rsidR="00CB5C8B" w:rsidRPr="0073029B">
        <w:rPr>
          <w:rFonts w:cs="Tahoma"/>
        </w:rPr>
        <w:t>resultado anual 2025 de las metas sectoriales</w:t>
      </w:r>
      <w:bookmarkEnd w:id="9"/>
    </w:p>
    <w:p w14:paraId="0991FB5A" w14:textId="77777777" w:rsidR="006B3D6F" w:rsidRPr="0073029B" w:rsidRDefault="006B3D6F" w:rsidP="006B3D6F">
      <w:pPr>
        <w:spacing w:after="0" w:line="360" w:lineRule="auto"/>
        <w:jc w:val="both"/>
        <w:rPr>
          <w:rFonts w:cs="Tahoma"/>
        </w:rPr>
      </w:pPr>
    </w:p>
    <w:p w14:paraId="493595A7" w14:textId="1022B726" w:rsidR="005602BD" w:rsidRPr="0073029B" w:rsidRDefault="005602BD" w:rsidP="005602BD">
      <w:pPr>
        <w:pStyle w:val="Ttulo2"/>
        <w:rPr>
          <w:rFonts w:cs="Tahoma"/>
        </w:rPr>
      </w:pPr>
      <w:bookmarkStart w:id="10" w:name="_Toc189055688"/>
      <w:bookmarkStart w:id="11" w:name="_Toc220401613"/>
      <w:r w:rsidRPr="0073029B">
        <w:rPr>
          <w:rFonts w:cs="Tahoma"/>
          <w:u w:val="single"/>
        </w:rPr>
        <w:t>Indicador 1.</w:t>
      </w:r>
      <w:r w:rsidRPr="0073029B">
        <w:rPr>
          <w:rFonts w:cs="Tahoma"/>
        </w:rPr>
        <w:t xml:space="preserve"> Tasa de </w:t>
      </w:r>
      <w:r w:rsidR="007D264E">
        <w:rPr>
          <w:rFonts w:cs="Tahoma"/>
        </w:rPr>
        <w:t>d</w:t>
      </w:r>
      <w:r w:rsidRPr="0073029B">
        <w:rPr>
          <w:rFonts w:cs="Tahoma"/>
        </w:rPr>
        <w:t>elitos por cada 100.000 Habitantes</w:t>
      </w:r>
      <w:bookmarkEnd w:id="10"/>
      <w:bookmarkEnd w:id="11"/>
    </w:p>
    <w:p w14:paraId="56CD8BD6" w14:textId="77777777" w:rsidR="0006622B" w:rsidRPr="0073029B" w:rsidRDefault="0006622B" w:rsidP="0006622B">
      <w:pPr>
        <w:rPr>
          <w:rFonts w:cs="Tahoma"/>
          <w:sz w:val="22"/>
        </w:rPr>
      </w:pPr>
    </w:p>
    <w:p w14:paraId="108FA50F" w14:textId="77777777" w:rsidR="00543472" w:rsidRPr="00194A01" w:rsidRDefault="00543472" w:rsidP="00543472">
      <w:pPr>
        <w:pStyle w:val="Direccininterior"/>
        <w:spacing w:before="240" w:after="240" w:line="360" w:lineRule="auto"/>
        <w:rPr>
          <w:rFonts w:ascii="Tahoma" w:hAnsi="Tahoma" w:cs="Tahoma"/>
          <w:sz w:val="22"/>
          <w:szCs w:val="22"/>
        </w:rPr>
      </w:pPr>
      <w:r w:rsidRPr="00194A01">
        <w:rPr>
          <w:rFonts w:ascii="Tahoma" w:hAnsi="Tahoma" w:cs="Tahoma"/>
          <w:sz w:val="22"/>
          <w:szCs w:val="22"/>
        </w:rPr>
        <w:t>Para el cálculo del resultado de la meta, el 05 de enero de 2026 se descargó el reporte de los delitos publicado por el Organismo de Investigación Judicial (OIJ), correspondiente al periodo comprendido entre el 1 de enero y el 31 de diciembre de 2025. Este reporte fue procesado por esta Secretaría de Planificación Sectorial e Institucional con el propósito de obtener el total de delitos según su tipología, tanto a nivel nacional como por región de planificación.</w:t>
      </w:r>
      <w:r w:rsidRPr="00194A01">
        <w:rPr>
          <w:rFonts w:ascii="Tahoma" w:hAnsi="Tahoma" w:cs="Tahoma"/>
          <w:color w:val="000000"/>
          <w:sz w:val="22"/>
          <w:szCs w:val="22"/>
        </w:rPr>
        <w:t xml:space="preserve"> </w:t>
      </w:r>
      <w:r w:rsidRPr="00194A01">
        <w:rPr>
          <w:rFonts w:ascii="Tahoma" w:hAnsi="Tahoma" w:cs="Tahoma"/>
          <w:sz w:val="22"/>
          <w:szCs w:val="22"/>
        </w:rPr>
        <w:t>El dato obtenido se dividió entre las estimaciones y proyecciones de población del Instituto Nacional de Estadísticas y Censos (INEC), publicadas el 15 de octubre de 2025. Posteriormente, este valor fue dividido entre 100.000, permitiendo calcular la tasa de delitos por cada cien mil habitantes reflejadas en el cuadro anterior.</w:t>
      </w:r>
    </w:p>
    <w:p w14:paraId="71BBDA42" w14:textId="77777777" w:rsidR="00543472" w:rsidRPr="00194A01" w:rsidRDefault="00543472" w:rsidP="00543472">
      <w:pPr>
        <w:pStyle w:val="Direccininterior"/>
        <w:spacing w:before="240" w:after="240" w:line="360" w:lineRule="auto"/>
        <w:rPr>
          <w:rFonts w:ascii="Tahoma" w:hAnsi="Tahoma" w:cs="Tahoma"/>
          <w:color w:val="000000"/>
          <w:sz w:val="22"/>
          <w:szCs w:val="22"/>
        </w:rPr>
      </w:pPr>
      <w:r w:rsidRPr="00194A01">
        <w:rPr>
          <w:rFonts w:ascii="Tahoma" w:hAnsi="Tahoma" w:cs="Tahoma"/>
          <w:color w:val="000000"/>
          <w:sz w:val="22"/>
          <w:szCs w:val="22"/>
        </w:rPr>
        <w:t>Conforme al Lineamiento Metodológico - Insumos para elaborar el seguimiento del Plan Nacional de Desarrollo y de Inversión Pública (PNDIP) 2023-2026, cuando el resultado de la meta (Acumulado IV Trimestre) sobrepasa el límite superior del rango de la meta del periodo, esta se clasifica con Cumplimiento bajo (denotada en color rojo) y el caso contrario, se clasifica como Cumplimiento alto (denotada en color verde).</w:t>
      </w:r>
    </w:p>
    <w:p w14:paraId="4EB0FD74" w14:textId="77777777" w:rsidR="00543472" w:rsidRPr="00194A01" w:rsidRDefault="00543472" w:rsidP="00543472">
      <w:pPr>
        <w:pStyle w:val="Direccininterior"/>
        <w:spacing w:before="240" w:after="240" w:line="360" w:lineRule="auto"/>
        <w:rPr>
          <w:rFonts w:ascii="Tahoma" w:hAnsi="Tahoma" w:cs="Tahoma"/>
          <w:spacing w:val="0"/>
          <w:sz w:val="22"/>
          <w:szCs w:val="22"/>
          <w:lang w:val="es-ES" w:eastAsia="es-ES"/>
        </w:rPr>
      </w:pPr>
      <w:r w:rsidRPr="00194A01">
        <w:rPr>
          <w:rFonts w:ascii="Tahoma" w:hAnsi="Tahoma" w:cs="Tahoma"/>
          <w:spacing w:val="0"/>
          <w:sz w:val="22"/>
          <w:szCs w:val="22"/>
          <w:lang w:val="es-ES" w:eastAsia="es-ES"/>
        </w:rPr>
        <w:t>Seguidamente, se detallan las principales acciones y logros, tanto a nivel nacional como por región de planificación, fundamentados en la información proporcionada por las instituciones del Sector Seguridad Ciudadana y Justicia en respuesta al oficio MJP-DM-SC-092-2025, y en el análisis de los resultados del indicador correspondiente al año 2025:</w:t>
      </w:r>
    </w:p>
    <w:p w14:paraId="573A2F33" w14:textId="77777777" w:rsidR="0073029B" w:rsidRPr="005936FA" w:rsidRDefault="0073029B" w:rsidP="00F32094">
      <w:pPr>
        <w:pStyle w:val="Direccininterior"/>
        <w:numPr>
          <w:ilvl w:val="0"/>
          <w:numId w:val="11"/>
        </w:numPr>
        <w:spacing w:before="240" w:after="240" w:line="360" w:lineRule="auto"/>
        <w:rPr>
          <w:rFonts w:ascii="Tahoma" w:hAnsi="Tahoma" w:cs="Tahoma"/>
          <w:spacing w:val="0"/>
          <w:sz w:val="22"/>
          <w:szCs w:val="22"/>
          <w:lang w:val="es-ES" w:eastAsia="es-ES"/>
        </w:rPr>
      </w:pPr>
      <w:r w:rsidRPr="005936FA">
        <w:rPr>
          <w:rFonts w:ascii="Tahoma" w:hAnsi="Tahoma" w:cs="Tahoma"/>
          <w:b/>
          <w:color w:val="000000"/>
          <w:sz w:val="22"/>
          <w:szCs w:val="22"/>
        </w:rPr>
        <w:t>Nivel Nacional:</w:t>
      </w:r>
    </w:p>
    <w:p w14:paraId="22D35E2B" w14:textId="77777777" w:rsidR="003B0B0E" w:rsidRPr="005936FA" w:rsidRDefault="003B0B0E" w:rsidP="003B0B0E">
      <w:pPr>
        <w:spacing w:before="240" w:after="240" w:line="360" w:lineRule="auto"/>
        <w:jc w:val="both"/>
        <w:rPr>
          <w:rFonts w:cs="Tahoma"/>
          <w:sz w:val="22"/>
          <w:lang w:eastAsia="es-CR"/>
        </w:rPr>
      </w:pPr>
      <w:r w:rsidRPr="005936FA">
        <w:rPr>
          <w:rFonts w:cs="Tahoma"/>
          <w:sz w:val="22"/>
          <w:lang w:eastAsia="es-CR"/>
        </w:rPr>
        <w:t>Entre 2023 y 2025, la tasa de delitos por cada 100.000 habitantes pasó de 938,94 a 780,02, lo que representa una reducción acumulada del 16,92 % en el período analizado. Este comportamiento refleja una tendencia sostenida a la baja, permitiendo alcanzar un cumplimiento alto del indicador en el año 2025.</w:t>
      </w:r>
    </w:p>
    <w:p w14:paraId="623F3C56" w14:textId="77777777" w:rsidR="003B0B0E" w:rsidRPr="005936FA" w:rsidRDefault="003B0B0E" w:rsidP="003B0B0E">
      <w:pPr>
        <w:spacing w:before="240" w:after="240" w:line="360" w:lineRule="auto"/>
        <w:jc w:val="both"/>
        <w:rPr>
          <w:rFonts w:cs="Tahoma"/>
          <w:sz w:val="22"/>
          <w:lang w:eastAsia="es-CR"/>
        </w:rPr>
      </w:pPr>
      <w:r w:rsidRPr="005936FA">
        <w:rPr>
          <w:rFonts w:cs="Tahoma"/>
          <w:sz w:val="22"/>
          <w:lang w:eastAsia="es-CR"/>
        </w:rPr>
        <w:lastRenderedPageBreak/>
        <w:t>De forma desagregada, entre 2023 y 2024 la disminución fue del 10,78 %, mientras que entre 2024 y 2025 se registró una reducción adicional del 6,9 %, consolidando el resultado positivo del período.</w:t>
      </w:r>
    </w:p>
    <w:p w14:paraId="59051D97" w14:textId="77777777" w:rsidR="006A1A05" w:rsidRPr="005936FA" w:rsidRDefault="006A1A05" w:rsidP="006A1A05">
      <w:pPr>
        <w:spacing w:before="240" w:after="240" w:line="360" w:lineRule="auto"/>
        <w:jc w:val="both"/>
        <w:rPr>
          <w:rFonts w:cs="Tahoma"/>
          <w:sz w:val="22"/>
          <w:lang w:eastAsia="es-CR"/>
        </w:rPr>
      </w:pPr>
      <w:r w:rsidRPr="005936FA">
        <w:rPr>
          <w:rFonts w:cs="Tahoma"/>
          <w:sz w:val="22"/>
          <w:lang w:eastAsia="es-CR"/>
        </w:rPr>
        <w:t xml:space="preserve">Entre </w:t>
      </w:r>
      <w:r w:rsidRPr="005936FA">
        <w:rPr>
          <w:rFonts w:cs="Tahoma"/>
          <w:b/>
          <w:bCs/>
          <w:sz w:val="22"/>
          <w:lang w:eastAsia="es-CR"/>
        </w:rPr>
        <w:t>2023 y 2025</w:t>
      </w:r>
      <w:r w:rsidRPr="005936FA">
        <w:rPr>
          <w:rFonts w:cs="Tahoma"/>
          <w:sz w:val="22"/>
          <w:lang w:eastAsia="es-CR"/>
        </w:rPr>
        <w:t>, se evidencian los siguientes cambios por tipo de delito:</w:t>
      </w:r>
    </w:p>
    <w:p w14:paraId="344D0A84" w14:textId="77777777" w:rsidR="006A1A05" w:rsidRPr="005936FA" w:rsidRDefault="006A1A05" w:rsidP="00176E70">
      <w:pPr>
        <w:numPr>
          <w:ilvl w:val="0"/>
          <w:numId w:val="25"/>
        </w:numPr>
        <w:spacing w:after="0" w:line="360" w:lineRule="auto"/>
        <w:jc w:val="both"/>
        <w:rPr>
          <w:rFonts w:cs="Tahoma"/>
          <w:sz w:val="22"/>
          <w:lang w:eastAsia="es-CR"/>
        </w:rPr>
      </w:pPr>
      <w:r w:rsidRPr="005936FA">
        <w:rPr>
          <w:rFonts w:cs="Tahoma"/>
          <w:b/>
          <w:bCs/>
          <w:sz w:val="22"/>
          <w:lang w:eastAsia="es-CR"/>
        </w:rPr>
        <w:t>Asalto:</w:t>
      </w:r>
      <w:r w:rsidRPr="005936FA">
        <w:rPr>
          <w:rFonts w:cs="Tahoma"/>
          <w:sz w:val="22"/>
          <w:lang w:eastAsia="es-CR"/>
        </w:rPr>
        <w:t xml:space="preserve"> disminuyó de </w:t>
      </w:r>
      <w:r w:rsidRPr="005936FA">
        <w:rPr>
          <w:rFonts w:cs="Tahoma"/>
          <w:b/>
          <w:bCs/>
          <w:sz w:val="22"/>
          <w:lang w:eastAsia="es-CR"/>
        </w:rPr>
        <w:t>240,53 a 183,33</w:t>
      </w:r>
      <w:r w:rsidRPr="005936FA">
        <w:rPr>
          <w:rFonts w:cs="Tahoma"/>
          <w:sz w:val="22"/>
          <w:lang w:eastAsia="es-CR"/>
        </w:rPr>
        <w:t xml:space="preserve">, lo que equivale a una reducción del </w:t>
      </w:r>
      <w:r w:rsidRPr="005936FA">
        <w:rPr>
          <w:rFonts w:cs="Tahoma"/>
          <w:b/>
          <w:bCs/>
          <w:sz w:val="22"/>
          <w:lang w:eastAsia="es-CR"/>
        </w:rPr>
        <w:t>23,78 %</w:t>
      </w:r>
      <w:r w:rsidRPr="005936FA">
        <w:rPr>
          <w:rFonts w:cs="Tahoma"/>
          <w:sz w:val="22"/>
          <w:lang w:eastAsia="es-CR"/>
        </w:rPr>
        <w:t>.</w:t>
      </w:r>
    </w:p>
    <w:p w14:paraId="0A992992" w14:textId="77777777" w:rsidR="006A1A05" w:rsidRPr="005936FA" w:rsidRDefault="006A1A05" w:rsidP="00176E70">
      <w:pPr>
        <w:numPr>
          <w:ilvl w:val="0"/>
          <w:numId w:val="25"/>
        </w:numPr>
        <w:spacing w:after="0" w:line="360" w:lineRule="auto"/>
        <w:jc w:val="both"/>
        <w:rPr>
          <w:rFonts w:cs="Tahoma"/>
          <w:sz w:val="22"/>
          <w:lang w:eastAsia="es-CR"/>
        </w:rPr>
      </w:pPr>
      <w:r w:rsidRPr="005936FA">
        <w:rPr>
          <w:rFonts w:cs="Tahoma"/>
          <w:b/>
          <w:bCs/>
          <w:sz w:val="22"/>
          <w:lang w:eastAsia="es-CR"/>
        </w:rPr>
        <w:t>Hurto:</w:t>
      </w:r>
      <w:r w:rsidRPr="005936FA">
        <w:rPr>
          <w:rFonts w:cs="Tahoma"/>
          <w:sz w:val="22"/>
          <w:lang w:eastAsia="es-CR"/>
        </w:rPr>
        <w:t xml:space="preserve"> pasó de </w:t>
      </w:r>
      <w:r w:rsidRPr="005936FA">
        <w:rPr>
          <w:rFonts w:cs="Tahoma"/>
          <w:b/>
          <w:bCs/>
          <w:sz w:val="22"/>
          <w:lang w:eastAsia="es-CR"/>
        </w:rPr>
        <w:t>310,44 a 254,94</w:t>
      </w:r>
      <w:r w:rsidRPr="005936FA">
        <w:rPr>
          <w:rFonts w:cs="Tahoma"/>
          <w:sz w:val="22"/>
          <w:lang w:eastAsia="es-CR"/>
        </w:rPr>
        <w:t xml:space="preserve">, con una disminución del </w:t>
      </w:r>
      <w:r w:rsidRPr="005936FA">
        <w:rPr>
          <w:rFonts w:cs="Tahoma"/>
          <w:b/>
          <w:bCs/>
          <w:sz w:val="22"/>
          <w:lang w:eastAsia="es-CR"/>
        </w:rPr>
        <w:t>17,88 %</w:t>
      </w:r>
      <w:r w:rsidRPr="005936FA">
        <w:rPr>
          <w:rFonts w:cs="Tahoma"/>
          <w:sz w:val="22"/>
          <w:lang w:eastAsia="es-CR"/>
        </w:rPr>
        <w:t>.</w:t>
      </w:r>
    </w:p>
    <w:p w14:paraId="30DC81AF" w14:textId="77777777" w:rsidR="006A1A05" w:rsidRPr="005936FA" w:rsidRDefault="006A1A05" w:rsidP="00176E70">
      <w:pPr>
        <w:numPr>
          <w:ilvl w:val="0"/>
          <w:numId w:val="25"/>
        </w:numPr>
        <w:spacing w:after="0" w:line="360" w:lineRule="auto"/>
        <w:jc w:val="both"/>
        <w:rPr>
          <w:rFonts w:cs="Tahoma"/>
          <w:sz w:val="22"/>
          <w:lang w:eastAsia="es-CR"/>
        </w:rPr>
      </w:pPr>
      <w:r w:rsidRPr="005936FA">
        <w:rPr>
          <w:rFonts w:cs="Tahoma"/>
          <w:b/>
          <w:bCs/>
          <w:sz w:val="22"/>
          <w:lang w:eastAsia="es-CR"/>
        </w:rPr>
        <w:t>Robo:</w:t>
      </w:r>
      <w:r w:rsidRPr="005936FA">
        <w:rPr>
          <w:rFonts w:cs="Tahoma"/>
          <w:sz w:val="22"/>
          <w:lang w:eastAsia="es-CR"/>
        </w:rPr>
        <w:t xml:space="preserve"> se redujo de </w:t>
      </w:r>
      <w:r w:rsidRPr="005936FA">
        <w:rPr>
          <w:rFonts w:cs="Tahoma"/>
          <w:b/>
          <w:bCs/>
          <w:sz w:val="22"/>
          <w:lang w:eastAsia="es-CR"/>
        </w:rPr>
        <w:t>207,31 a 144,09</w:t>
      </w:r>
      <w:r w:rsidRPr="005936FA">
        <w:rPr>
          <w:rFonts w:cs="Tahoma"/>
          <w:sz w:val="22"/>
          <w:lang w:eastAsia="es-CR"/>
        </w:rPr>
        <w:t xml:space="preserve">, equivalente a una caída del </w:t>
      </w:r>
      <w:r w:rsidRPr="005936FA">
        <w:rPr>
          <w:rFonts w:cs="Tahoma"/>
          <w:b/>
          <w:bCs/>
          <w:sz w:val="22"/>
          <w:lang w:eastAsia="es-CR"/>
        </w:rPr>
        <w:t>30,49 %</w:t>
      </w:r>
      <w:r w:rsidRPr="005936FA">
        <w:rPr>
          <w:rFonts w:cs="Tahoma"/>
          <w:sz w:val="22"/>
          <w:lang w:eastAsia="es-CR"/>
        </w:rPr>
        <w:t>, siendo uno de los descensos más relevantes.</w:t>
      </w:r>
    </w:p>
    <w:p w14:paraId="1667E088" w14:textId="77777777" w:rsidR="006A1A05" w:rsidRPr="005936FA" w:rsidRDefault="006A1A05" w:rsidP="00176E70">
      <w:pPr>
        <w:numPr>
          <w:ilvl w:val="0"/>
          <w:numId w:val="25"/>
        </w:numPr>
        <w:spacing w:after="0" w:line="360" w:lineRule="auto"/>
        <w:jc w:val="both"/>
        <w:rPr>
          <w:rFonts w:cs="Tahoma"/>
          <w:sz w:val="22"/>
          <w:lang w:eastAsia="es-CR"/>
        </w:rPr>
      </w:pPr>
      <w:r w:rsidRPr="005936FA">
        <w:rPr>
          <w:rFonts w:cs="Tahoma"/>
          <w:b/>
          <w:bCs/>
          <w:sz w:val="22"/>
          <w:lang w:eastAsia="es-CR"/>
        </w:rPr>
        <w:t>Robo de vehículo:</w:t>
      </w:r>
      <w:r w:rsidRPr="005936FA">
        <w:rPr>
          <w:rFonts w:cs="Tahoma"/>
          <w:sz w:val="22"/>
          <w:lang w:eastAsia="es-CR"/>
        </w:rPr>
        <w:t xml:space="preserve"> aumentó de </w:t>
      </w:r>
      <w:r w:rsidRPr="005936FA">
        <w:rPr>
          <w:rFonts w:cs="Tahoma"/>
          <w:b/>
          <w:bCs/>
          <w:sz w:val="22"/>
          <w:lang w:eastAsia="es-CR"/>
        </w:rPr>
        <w:t>90,30 a 98,15</w:t>
      </w:r>
      <w:r w:rsidRPr="005936FA">
        <w:rPr>
          <w:rFonts w:cs="Tahoma"/>
          <w:sz w:val="22"/>
          <w:lang w:eastAsia="es-CR"/>
        </w:rPr>
        <w:t xml:space="preserve">, lo que representa un incremento del </w:t>
      </w:r>
      <w:r w:rsidRPr="005936FA">
        <w:rPr>
          <w:rFonts w:cs="Tahoma"/>
          <w:b/>
          <w:bCs/>
          <w:sz w:val="22"/>
          <w:lang w:eastAsia="es-CR"/>
        </w:rPr>
        <w:t>8,69 %</w:t>
      </w:r>
      <w:r w:rsidRPr="005936FA">
        <w:rPr>
          <w:rFonts w:cs="Tahoma"/>
          <w:sz w:val="22"/>
          <w:lang w:eastAsia="es-CR"/>
        </w:rPr>
        <w:t xml:space="preserve">; no obstante, se mantiene </w:t>
      </w:r>
      <w:r w:rsidRPr="005936FA">
        <w:rPr>
          <w:rFonts w:cs="Tahoma"/>
          <w:b/>
          <w:bCs/>
          <w:sz w:val="22"/>
          <w:lang w:eastAsia="es-CR"/>
        </w:rPr>
        <w:t>dentro del rango meta</w:t>
      </w:r>
      <w:r w:rsidRPr="005936FA">
        <w:rPr>
          <w:rFonts w:cs="Tahoma"/>
          <w:sz w:val="22"/>
          <w:lang w:eastAsia="es-CR"/>
        </w:rPr>
        <w:t>, sin afectar el cumplimiento del indicador.</w:t>
      </w:r>
    </w:p>
    <w:p w14:paraId="2A1D7F99" w14:textId="77777777" w:rsidR="006A1A05" w:rsidRPr="005936FA" w:rsidRDefault="006A1A05" w:rsidP="00176E70">
      <w:pPr>
        <w:numPr>
          <w:ilvl w:val="0"/>
          <w:numId w:val="25"/>
        </w:numPr>
        <w:spacing w:after="0" w:line="360" w:lineRule="auto"/>
        <w:jc w:val="both"/>
        <w:rPr>
          <w:rFonts w:cs="Tahoma"/>
          <w:sz w:val="22"/>
          <w:lang w:eastAsia="es-CR"/>
        </w:rPr>
      </w:pPr>
      <w:r w:rsidRPr="005936FA">
        <w:rPr>
          <w:rFonts w:cs="Tahoma"/>
          <w:b/>
          <w:bCs/>
          <w:sz w:val="22"/>
          <w:lang w:eastAsia="es-CR"/>
        </w:rPr>
        <w:t>Tacha de vehículo:</w:t>
      </w:r>
      <w:r w:rsidRPr="005936FA">
        <w:rPr>
          <w:rFonts w:cs="Tahoma"/>
          <w:sz w:val="22"/>
          <w:lang w:eastAsia="es-CR"/>
        </w:rPr>
        <w:t xml:space="preserve"> aumentó de </w:t>
      </w:r>
      <w:r w:rsidRPr="005936FA">
        <w:rPr>
          <w:rFonts w:cs="Tahoma"/>
          <w:b/>
          <w:bCs/>
          <w:sz w:val="22"/>
          <w:lang w:eastAsia="es-CR"/>
        </w:rPr>
        <w:t>73,18 a 83,02</w:t>
      </w:r>
      <w:r w:rsidRPr="005936FA">
        <w:rPr>
          <w:rFonts w:cs="Tahoma"/>
          <w:sz w:val="22"/>
          <w:lang w:eastAsia="es-CR"/>
        </w:rPr>
        <w:t xml:space="preserve">, con una variación del </w:t>
      </w:r>
      <w:r w:rsidRPr="005936FA">
        <w:rPr>
          <w:rFonts w:cs="Tahoma"/>
          <w:b/>
          <w:bCs/>
          <w:sz w:val="22"/>
          <w:lang w:eastAsia="es-CR"/>
        </w:rPr>
        <w:t>13,44 %</w:t>
      </w:r>
      <w:r w:rsidRPr="005936FA">
        <w:rPr>
          <w:rFonts w:cs="Tahoma"/>
          <w:sz w:val="22"/>
          <w:lang w:eastAsia="es-CR"/>
        </w:rPr>
        <w:t>; sin embargo, este comportamiento no impacta el cumplimiento, al mantenerse dentro del rango establecido.</w:t>
      </w:r>
    </w:p>
    <w:p w14:paraId="48B4E148" w14:textId="77777777" w:rsidR="006A1A05" w:rsidRPr="005936FA" w:rsidRDefault="006A1A05" w:rsidP="00B66387">
      <w:pPr>
        <w:spacing w:before="240" w:after="240" w:line="360" w:lineRule="auto"/>
        <w:jc w:val="both"/>
        <w:rPr>
          <w:rFonts w:cs="Tahoma"/>
          <w:sz w:val="22"/>
          <w:lang w:eastAsia="es-CR"/>
        </w:rPr>
      </w:pPr>
      <w:r w:rsidRPr="005936FA">
        <w:rPr>
          <w:rFonts w:cs="Tahoma"/>
          <w:sz w:val="22"/>
          <w:lang w:eastAsia="es-CR"/>
        </w:rPr>
        <w:t>En contraste, el homicidio pasó de 17,18 en 2023 a 16,49 en 2025, lo que representa una leve reducción del 4,0 %. No obstante, el valor se mantiene por encima del rango meta (12,01), generando un cumplimiento bajo y constituyéndose en el principal rezago del indicador a nivel nacional.</w:t>
      </w:r>
    </w:p>
    <w:p w14:paraId="0251D362" w14:textId="3F4DBF80" w:rsidR="00D77779" w:rsidRPr="005936FA" w:rsidRDefault="00D77779" w:rsidP="00BE4BDB">
      <w:pPr>
        <w:spacing w:before="240" w:after="240" w:line="360" w:lineRule="auto"/>
        <w:jc w:val="both"/>
        <w:rPr>
          <w:rFonts w:cs="Tahoma"/>
          <w:b/>
          <w:bCs/>
          <w:sz w:val="22"/>
          <w:lang w:eastAsia="es-CR"/>
        </w:rPr>
      </w:pPr>
      <w:r w:rsidRPr="005936FA">
        <w:rPr>
          <w:rFonts w:cs="Tahoma"/>
          <w:b/>
          <w:bCs/>
          <w:sz w:val="22"/>
          <w:lang w:eastAsia="es-CR"/>
        </w:rPr>
        <w:t>Acciones sectoriales y resultados asociados al cumplimiento del indicador</w:t>
      </w:r>
    </w:p>
    <w:p w14:paraId="78997314" w14:textId="31E0C98B" w:rsidR="00212E81" w:rsidRPr="005936FA" w:rsidRDefault="00212E81" w:rsidP="00BE4BDB">
      <w:pPr>
        <w:spacing w:before="240" w:after="240" w:line="360" w:lineRule="auto"/>
        <w:jc w:val="both"/>
        <w:rPr>
          <w:rFonts w:cs="Tahoma"/>
          <w:sz w:val="22"/>
          <w:lang w:eastAsia="es-CR"/>
        </w:rPr>
      </w:pPr>
      <w:r w:rsidRPr="005936FA">
        <w:rPr>
          <w:rFonts w:cs="Tahoma"/>
          <w:sz w:val="22"/>
          <w:lang w:eastAsia="es-CR"/>
        </w:rPr>
        <w:t>Durante el año 2025, el Sector Seguridad Ciudadana y Justicia desarrolló múltiples acciones orientadas a la prevención y combate del crimen, las cuales contribuyeron de manera significativa al cumplimiento de la meta del indicador.</w:t>
      </w:r>
    </w:p>
    <w:p w14:paraId="2DA7F2A8" w14:textId="4BEA5A5D" w:rsidR="00122BF4" w:rsidRPr="005936FA" w:rsidRDefault="00122BF4" w:rsidP="00BE4BDB">
      <w:pPr>
        <w:spacing w:before="240" w:after="240" w:line="360" w:lineRule="auto"/>
        <w:jc w:val="both"/>
        <w:rPr>
          <w:rFonts w:cs="Tahoma"/>
          <w:sz w:val="22"/>
          <w:lang w:eastAsia="es-CR"/>
        </w:rPr>
      </w:pPr>
      <w:r w:rsidRPr="005936FA">
        <w:rPr>
          <w:rFonts w:cs="Tahoma"/>
          <w:sz w:val="22"/>
          <w:lang w:eastAsia="es-CR"/>
        </w:rPr>
        <w:t xml:space="preserve">En este marco, la Fuerza Pública fortaleció la ejecución de acciones policiales basadas en la recopilación, análisis y tratamiento de información estratégica, lo que permitió la generación de cursos de acción integrales orientados tanto al combate como a la prevención del delito. Dichas acciones se ejecutaron en estricto apego a las garantías constitucionales, la defensa de la soberanía nacional, la protección del orden público y el resguardo de la seguridad e integridad </w:t>
      </w:r>
      <w:r w:rsidRPr="005936FA">
        <w:rPr>
          <w:rFonts w:cs="Tahoma"/>
          <w:sz w:val="22"/>
          <w:lang w:eastAsia="es-CR"/>
        </w:rPr>
        <w:lastRenderedPageBreak/>
        <w:t>de las personas y sus bienes, contribuyendo de manera sostenida a la preservación de la paz social.</w:t>
      </w:r>
    </w:p>
    <w:p w14:paraId="1F14E256" w14:textId="77777777" w:rsidR="00122BF4" w:rsidRPr="005936FA" w:rsidRDefault="00122BF4" w:rsidP="00BE4BDB">
      <w:pPr>
        <w:spacing w:before="240" w:after="240" w:line="360" w:lineRule="auto"/>
        <w:jc w:val="both"/>
        <w:rPr>
          <w:rFonts w:cs="Tahoma"/>
          <w:sz w:val="22"/>
          <w:lang w:eastAsia="es-CR"/>
        </w:rPr>
      </w:pPr>
      <w:r w:rsidRPr="005936FA">
        <w:rPr>
          <w:rFonts w:cs="Tahoma"/>
          <w:sz w:val="22"/>
          <w:lang w:eastAsia="es-CR"/>
        </w:rPr>
        <w:t>Como parte de este enfoque operativo, se implementaron operaciones policiales estratégicas focalizadas en la reducción de los Delitos Contra la Vida y la Propiedad (DCLV y DCLP), conforme al comportamiento de la tasa de delitos por cada 100.000 habitantes. Entre las principales operaciones ejecutadas durante el año 2025 se destacan:</w:t>
      </w:r>
    </w:p>
    <w:p w14:paraId="7F3BC5C5" w14:textId="694D7C14" w:rsidR="00122BF4" w:rsidRPr="005936FA" w:rsidRDefault="00122BF4" w:rsidP="00BE4BDB">
      <w:pPr>
        <w:pStyle w:val="Prrafodelista"/>
        <w:numPr>
          <w:ilvl w:val="0"/>
          <w:numId w:val="18"/>
        </w:numPr>
        <w:spacing w:before="240" w:after="240" w:line="360" w:lineRule="auto"/>
        <w:jc w:val="both"/>
        <w:rPr>
          <w:rFonts w:cs="Tahoma"/>
          <w:sz w:val="22"/>
          <w:lang w:eastAsia="es-CR"/>
        </w:rPr>
      </w:pPr>
      <w:r w:rsidRPr="005936FA">
        <w:rPr>
          <w:rFonts w:cs="Tahoma"/>
          <w:sz w:val="22"/>
          <w:lang w:eastAsia="es-CR"/>
        </w:rPr>
        <w:t>TOP-20-2025</w:t>
      </w:r>
      <w:r w:rsidR="00737A8B" w:rsidRPr="005936FA">
        <w:rPr>
          <w:rFonts w:cs="Tahoma"/>
          <w:sz w:val="22"/>
          <w:lang w:eastAsia="es-CR"/>
        </w:rPr>
        <w:t>.</w:t>
      </w:r>
    </w:p>
    <w:p w14:paraId="331F102D" w14:textId="5C9DF297" w:rsidR="00122BF4" w:rsidRPr="005936FA" w:rsidRDefault="00122BF4" w:rsidP="00BE4BDB">
      <w:pPr>
        <w:pStyle w:val="Prrafodelista"/>
        <w:numPr>
          <w:ilvl w:val="0"/>
          <w:numId w:val="18"/>
        </w:numPr>
        <w:spacing w:before="240" w:after="240" w:line="360" w:lineRule="auto"/>
        <w:jc w:val="both"/>
        <w:rPr>
          <w:rFonts w:cs="Tahoma"/>
          <w:sz w:val="22"/>
          <w:lang w:eastAsia="es-CR"/>
        </w:rPr>
      </w:pPr>
      <w:r w:rsidRPr="005936FA">
        <w:rPr>
          <w:rFonts w:cs="Tahoma"/>
          <w:sz w:val="22"/>
          <w:lang w:eastAsia="es-CR"/>
        </w:rPr>
        <w:t>Operación Atlántico</w:t>
      </w:r>
      <w:r w:rsidR="00737A8B" w:rsidRPr="005936FA">
        <w:rPr>
          <w:rFonts w:cs="Tahoma"/>
          <w:sz w:val="22"/>
          <w:lang w:eastAsia="es-CR"/>
        </w:rPr>
        <w:t>.</w:t>
      </w:r>
    </w:p>
    <w:p w14:paraId="49BC60B2" w14:textId="32707734" w:rsidR="00122BF4" w:rsidRPr="005936FA" w:rsidRDefault="00122BF4" w:rsidP="00BE4BDB">
      <w:pPr>
        <w:pStyle w:val="Prrafodelista"/>
        <w:numPr>
          <w:ilvl w:val="0"/>
          <w:numId w:val="18"/>
        </w:numPr>
        <w:spacing w:before="240" w:after="240" w:line="360" w:lineRule="auto"/>
        <w:jc w:val="both"/>
        <w:rPr>
          <w:rFonts w:cs="Tahoma"/>
          <w:sz w:val="22"/>
          <w:lang w:eastAsia="es-CR"/>
        </w:rPr>
      </w:pPr>
      <w:r w:rsidRPr="005936FA">
        <w:rPr>
          <w:rFonts w:cs="Tahoma"/>
          <w:sz w:val="22"/>
          <w:lang w:eastAsia="es-CR"/>
        </w:rPr>
        <w:t>Operación Tolerancia Cero</w:t>
      </w:r>
      <w:r w:rsidR="00737A8B" w:rsidRPr="005936FA">
        <w:rPr>
          <w:rFonts w:cs="Tahoma"/>
          <w:sz w:val="22"/>
          <w:lang w:eastAsia="es-CR"/>
        </w:rPr>
        <w:t>.</w:t>
      </w:r>
    </w:p>
    <w:p w14:paraId="5AD6580A" w14:textId="1F99D265" w:rsidR="00122BF4" w:rsidRPr="005936FA" w:rsidRDefault="00122BF4" w:rsidP="00BE4BDB">
      <w:pPr>
        <w:pStyle w:val="Prrafodelista"/>
        <w:numPr>
          <w:ilvl w:val="0"/>
          <w:numId w:val="18"/>
        </w:numPr>
        <w:spacing w:before="240" w:after="240" w:line="360" w:lineRule="auto"/>
        <w:jc w:val="both"/>
        <w:rPr>
          <w:rFonts w:cs="Tahoma"/>
          <w:sz w:val="22"/>
          <w:lang w:eastAsia="es-CR"/>
        </w:rPr>
      </w:pPr>
      <w:r w:rsidRPr="005936FA">
        <w:rPr>
          <w:rFonts w:cs="Tahoma"/>
          <w:sz w:val="22"/>
          <w:lang w:eastAsia="es-CR"/>
        </w:rPr>
        <w:t>Operación Focalización San José</w:t>
      </w:r>
      <w:r w:rsidR="00737A8B" w:rsidRPr="005936FA">
        <w:rPr>
          <w:rFonts w:cs="Tahoma"/>
          <w:sz w:val="22"/>
          <w:lang w:eastAsia="es-CR"/>
        </w:rPr>
        <w:t>.</w:t>
      </w:r>
    </w:p>
    <w:p w14:paraId="6BFC6D7E" w14:textId="6B2931A0" w:rsidR="00122BF4" w:rsidRPr="005936FA" w:rsidRDefault="00122BF4" w:rsidP="00BE4BDB">
      <w:pPr>
        <w:pStyle w:val="Prrafodelista"/>
        <w:numPr>
          <w:ilvl w:val="0"/>
          <w:numId w:val="18"/>
        </w:numPr>
        <w:spacing w:before="240" w:after="240" w:line="360" w:lineRule="auto"/>
        <w:jc w:val="both"/>
        <w:rPr>
          <w:rFonts w:cs="Tahoma"/>
          <w:sz w:val="22"/>
          <w:lang w:eastAsia="es-CR"/>
        </w:rPr>
      </w:pPr>
      <w:r w:rsidRPr="005936FA">
        <w:rPr>
          <w:rFonts w:cs="Tahoma"/>
          <w:sz w:val="22"/>
          <w:lang w:eastAsia="es-CR"/>
        </w:rPr>
        <w:t>Operación Focalización Pacífico Central</w:t>
      </w:r>
      <w:r w:rsidR="00737A8B" w:rsidRPr="005936FA">
        <w:rPr>
          <w:rFonts w:cs="Tahoma"/>
          <w:sz w:val="22"/>
          <w:lang w:eastAsia="es-CR"/>
        </w:rPr>
        <w:t>.</w:t>
      </w:r>
    </w:p>
    <w:p w14:paraId="4E017043" w14:textId="2661A529" w:rsidR="00122BF4" w:rsidRPr="005936FA" w:rsidRDefault="00122BF4" w:rsidP="00BE4BDB">
      <w:pPr>
        <w:pStyle w:val="Prrafodelista"/>
        <w:numPr>
          <w:ilvl w:val="0"/>
          <w:numId w:val="18"/>
        </w:numPr>
        <w:spacing w:before="240" w:after="240" w:line="360" w:lineRule="auto"/>
        <w:jc w:val="both"/>
        <w:rPr>
          <w:rFonts w:cs="Tahoma"/>
          <w:sz w:val="22"/>
          <w:lang w:eastAsia="es-CR"/>
        </w:rPr>
      </w:pPr>
      <w:r w:rsidRPr="005936FA">
        <w:rPr>
          <w:rFonts w:cs="Tahoma"/>
          <w:sz w:val="22"/>
          <w:lang w:eastAsia="es-CR"/>
        </w:rPr>
        <w:t>Operación Carga Pesada</w:t>
      </w:r>
      <w:r w:rsidR="00737A8B" w:rsidRPr="005936FA">
        <w:rPr>
          <w:rFonts w:cs="Tahoma"/>
          <w:sz w:val="22"/>
          <w:lang w:eastAsia="es-CR"/>
        </w:rPr>
        <w:t>.</w:t>
      </w:r>
    </w:p>
    <w:p w14:paraId="283C8CFD" w14:textId="16F801D3" w:rsidR="00122BF4" w:rsidRPr="005936FA" w:rsidRDefault="00027F3E" w:rsidP="00BE4BDB">
      <w:pPr>
        <w:spacing w:before="240" w:after="240" w:line="360" w:lineRule="auto"/>
        <w:jc w:val="both"/>
        <w:rPr>
          <w:rFonts w:cs="Tahoma"/>
          <w:sz w:val="22"/>
          <w:lang w:eastAsia="es-CR"/>
        </w:rPr>
      </w:pPr>
      <w:r w:rsidRPr="005936FA">
        <w:rPr>
          <w:rFonts w:cs="Tahoma"/>
          <w:sz w:val="22"/>
          <w:lang w:eastAsia="es-CR"/>
        </w:rPr>
        <w:t xml:space="preserve">Como resultado de estas acciones, se registraron </w:t>
      </w:r>
      <w:r w:rsidR="00122BF4" w:rsidRPr="005936FA">
        <w:rPr>
          <w:rFonts w:cs="Tahoma"/>
          <w:sz w:val="22"/>
          <w:lang w:eastAsia="es-CR"/>
        </w:rPr>
        <w:t>205.493 aprehensiones por diversos delitos; la incautación de 9.872 armas blancas, 2.711 armas de fuego y 1.296 armas menos letales. Asimismo, en materia de drogas se decomisaron 42.233,83 kilogramos de cocaína, 15.819,18 kilogramos de marihuana y 71,9 kilogramos de crack. Adicionalmente, se logró el decomiso de ₡395.996.596 y USD 312.871, afectando de manera directa las estructuras financieras vinculadas a actividades delictivas.</w:t>
      </w:r>
    </w:p>
    <w:p w14:paraId="35F986CD" w14:textId="77777777" w:rsidR="00122BF4" w:rsidRPr="005936FA" w:rsidRDefault="00122BF4" w:rsidP="00BE4BDB">
      <w:pPr>
        <w:spacing w:before="240" w:after="240" w:line="360" w:lineRule="auto"/>
        <w:jc w:val="both"/>
        <w:rPr>
          <w:rFonts w:cs="Tahoma"/>
          <w:sz w:val="22"/>
          <w:lang w:eastAsia="es-CR"/>
        </w:rPr>
      </w:pPr>
      <w:r w:rsidRPr="005936FA">
        <w:rPr>
          <w:rFonts w:cs="Tahoma"/>
          <w:sz w:val="22"/>
          <w:lang w:eastAsia="es-CR"/>
        </w:rPr>
        <w:t>En conjunto, estos resultados evidencian el impacto positivo de las acciones policiales implementadas, contribuyendo de forma directa al cumplimiento del indicador sectorial y al fortalecimiento de la seguridad ciudadana a nivel nacional.</w:t>
      </w:r>
    </w:p>
    <w:p w14:paraId="77D274EF" w14:textId="11BF1667" w:rsidR="005C00E6" w:rsidRPr="005936FA" w:rsidRDefault="00E7609B" w:rsidP="00BE4BDB">
      <w:pPr>
        <w:spacing w:before="240" w:after="240" w:line="360" w:lineRule="auto"/>
        <w:jc w:val="both"/>
        <w:rPr>
          <w:rFonts w:cs="Tahoma"/>
          <w:sz w:val="22"/>
          <w:lang w:eastAsia="es-CR"/>
        </w:rPr>
      </w:pPr>
      <w:r w:rsidRPr="005936FA">
        <w:rPr>
          <w:rFonts w:cs="Tahoma"/>
          <w:sz w:val="22"/>
          <w:lang w:eastAsia="es-CR"/>
        </w:rPr>
        <w:t xml:space="preserve">En el caso de la Unidad Especial de Intervención (UEI), en el 2025 ejecutó un amplio conjunto de acciones como producto intermedio, en apoyo y a solicitud de diversas instituciones del Estado, contribuyendo a la prevención, protección y fortalecimiento de la seguridad ciudadana y del Estado de Derecho. </w:t>
      </w:r>
      <w:r w:rsidR="00980427" w:rsidRPr="005936FA">
        <w:rPr>
          <w:rFonts w:cs="Tahoma"/>
          <w:sz w:val="22"/>
          <w:lang w:eastAsia="es-CR"/>
        </w:rPr>
        <w:t>La</w:t>
      </w:r>
      <w:r w:rsidRPr="005936FA">
        <w:rPr>
          <w:rFonts w:cs="Tahoma"/>
          <w:sz w:val="22"/>
          <w:lang w:eastAsia="es-CR"/>
        </w:rPr>
        <w:t xml:space="preserve"> UEI participó en operativos de alto riesgo, operativos de seguridad fija, intervenciones tácticas y </w:t>
      </w:r>
      <w:proofErr w:type="spellStart"/>
      <w:r w:rsidRPr="005936FA">
        <w:rPr>
          <w:rFonts w:cs="Tahoma"/>
          <w:sz w:val="22"/>
          <w:lang w:eastAsia="es-CR"/>
        </w:rPr>
        <w:t>megaoperativos</w:t>
      </w:r>
      <w:proofErr w:type="spellEnd"/>
      <w:r w:rsidRPr="005936FA">
        <w:rPr>
          <w:rFonts w:cs="Tahoma"/>
          <w:sz w:val="22"/>
          <w:lang w:eastAsia="es-CR"/>
        </w:rPr>
        <w:t xml:space="preserve"> en distintas regiones del país, así como en labores de escolta a miembros de los Supremos Poderes, dignatarios nacionales y delegaciones </w:t>
      </w:r>
      <w:r w:rsidRPr="005936FA">
        <w:rPr>
          <w:rFonts w:cs="Tahoma"/>
          <w:sz w:val="22"/>
          <w:lang w:eastAsia="es-CR"/>
        </w:rPr>
        <w:lastRenderedPageBreak/>
        <w:t xml:space="preserve">internacionales, </w:t>
      </w:r>
      <w:r w:rsidR="00DC3BE6" w:rsidRPr="005936FA">
        <w:rPr>
          <w:rFonts w:cs="Tahoma"/>
          <w:sz w:val="22"/>
          <w:lang w:eastAsia="es-CR"/>
        </w:rPr>
        <w:t>entre otras</w:t>
      </w:r>
      <w:r w:rsidRPr="005936FA">
        <w:rPr>
          <w:rFonts w:cs="Tahoma"/>
          <w:sz w:val="22"/>
          <w:lang w:eastAsia="es-CR"/>
        </w:rPr>
        <w:t xml:space="preserve">. Asimismo, se realizaron intervenciones especializadas en la atención, desactivación y destrucción de artefactos explosivos, estudios de alto riesgo, y múltiples acciones vinculadas a la seguridad nuclear y radiológica, incluyendo evaluaciones de amenazas, capacitaciones técnicas y cooperación internacional. </w:t>
      </w:r>
    </w:p>
    <w:p w14:paraId="274BF39A" w14:textId="231F0368" w:rsidR="00E7609B" w:rsidRPr="005936FA" w:rsidRDefault="00E7609B" w:rsidP="00BE4BDB">
      <w:pPr>
        <w:spacing w:before="240" w:after="240" w:line="360" w:lineRule="auto"/>
        <w:jc w:val="both"/>
        <w:rPr>
          <w:rFonts w:cs="Tahoma"/>
          <w:sz w:val="22"/>
          <w:lang w:eastAsia="es-CR"/>
        </w:rPr>
      </w:pPr>
      <w:r w:rsidRPr="005936FA">
        <w:rPr>
          <w:rFonts w:cs="Tahoma"/>
          <w:sz w:val="22"/>
          <w:lang w:eastAsia="es-CR"/>
        </w:rPr>
        <w:t>Estas acciones permitieron fortalecer las capacidades operativas y técnicas del personal, garantizar la integridad de personas e infraestructuras estratégicas y ejecutar intervenciones de alto riesgo de manera efectiva, conforme a lo planificado.</w:t>
      </w:r>
    </w:p>
    <w:p w14:paraId="718D082A" w14:textId="7F94844E" w:rsidR="00AD7C1F" w:rsidRPr="005936FA" w:rsidRDefault="00AD7C1F" w:rsidP="00BE4BDB">
      <w:pPr>
        <w:spacing w:before="240" w:after="240" w:line="360" w:lineRule="auto"/>
        <w:jc w:val="both"/>
        <w:rPr>
          <w:rFonts w:cs="Tahoma"/>
          <w:sz w:val="22"/>
          <w:lang w:eastAsia="es-CR"/>
        </w:rPr>
      </w:pPr>
      <w:r w:rsidRPr="005936FA">
        <w:rPr>
          <w:rFonts w:cs="Tahoma"/>
          <w:sz w:val="22"/>
          <w:lang w:eastAsia="es-CR"/>
        </w:rPr>
        <w:t>En el ámbito del combate a la criminalidad organizada, durante el año 2025 se desarticularon, debilitaron, destruyeron, desestabilizaron o eliminaron, de forma total o parcial, 26 estructuras internacionales y 169 estructuras nacionales vinculadas al narcotráfico, así como dos redes relacionadas con la trata de personas y el tráfico ilícito de migrantes. Estas acciones, lideradas por la Policía de Control de Drogas (PCD) y la Policía Profesional de Migración, permitieron debilitar de manera significativa la capacidad operativa de dichas organizaciones.</w:t>
      </w:r>
    </w:p>
    <w:p w14:paraId="0F5AAFBD" w14:textId="34D27B95" w:rsidR="00A1306D" w:rsidRPr="005936FA" w:rsidRDefault="00B07013" w:rsidP="00BE4BDB">
      <w:pPr>
        <w:spacing w:before="240" w:after="240" w:line="360" w:lineRule="auto"/>
        <w:jc w:val="both"/>
        <w:rPr>
          <w:rFonts w:cs="Tahoma"/>
          <w:sz w:val="22"/>
          <w:lang w:eastAsia="es-CR"/>
        </w:rPr>
      </w:pPr>
      <w:r w:rsidRPr="005936FA">
        <w:rPr>
          <w:rFonts w:cs="Tahoma"/>
          <w:sz w:val="22"/>
          <w:lang w:eastAsia="es-CR"/>
        </w:rPr>
        <w:t>En el marco del Programa de Seguridad Ciudadana y Prevención de la Violencia, durante el año 2025 se ejecutaron acciones orientadas al fortalecimiento de las capacidades comunitarias, que incluyeron procesos de capacitación en materia de prevención de la violencia dirigidos a las comunidades de Liberia, Goicoechea, Pérez Zeledón y San José, así como la dinamización comunitaria y la formación en temas específicos con un enfoque de violencia basada en género, trabajo con masculinidades, inclusión y diversidad, beneficiando a quince comunidades</w:t>
      </w:r>
      <w:r w:rsidR="00A45B7E" w:rsidRPr="005936FA">
        <w:rPr>
          <w:rFonts w:cs="Tahoma"/>
          <w:sz w:val="22"/>
          <w:lang w:eastAsia="es-CR"/>
        </w:rPr>
        <w:t xml:space="preserve">. </w:t>
      </w:r>
      <w:r w:rsidR="00F862BD" w:rsidRPr="005936FA">
        <w:rPr>
          <w:rFonts w:cs="Tahoma"/>
          <w:sz w:val="22"/>
          <w:lang w:eastAsia="es-CR"/>
        </w:rPr>
        <w:t>Además, se</w:t>
      </w:r>
      <w:r w:rsidRPr="005936FA">
        <w:rPr>
          <w:rFonts w:cs="Tahoma"/>
          <w:sz w:val="22"/>
          <w:lang w:eastAsia="es-CR"/>
        </w:rPr>
        <w:t xml:space="preserve"> desarrollaron acciones de comunicación y difusión de las actividades de los Centros Cívicos por la Paz (CCP).</w:t>
      </w:r>
    </w:p>
    <w:p w14:paraId="4135A139" w14:textId="77777777" w:rsidR="00EE4664" w:rsidRPr="005936FA" w:rsidRDefault="00EE4664" w:rsidP="00BE4BDB">
      <w:pPr>
        <w:spacing w:before="240" w:after="240" w:line="360" w:lineRule="auto"/>
        <w:jc w:val="both"/>
        <w:rPr>
          <w:rFonts w:cs="Tahoma"/>
          <w:sz w:val="22"/>
          <w:lang w:eastAsia="es-ES_tradnl"/>
        </w:rPr>
      </w:pPr>
      <w:r w:rsidRPr="005936FA">
        <w:rPr>
          <w:rFonts w:cs="Tahoma"/>
          <w:sz w:val="22"/>
          <w:lang w:eastAsia="es-ES_tradnl"/>
        </w:rPr>
        <w:t>En el ámbito penitenciario, el Ministerio de Justicia y Paz, por medio de la Policía Penitenciaria, desarrolló diversas acciones operativas orientadas al control, la prevención y el combate del delito, en coordinación con otros cuerpos policiales e instancias estratégicas. Entre las principales acciones ejecutadas se destacan las siguientes:</w:t>
      </w:r>
    </w:p>
    <w:p w14:paraId="4176F195" w14:textId="77777777" w:rsidR="00EE4664" w:rsidRPr="005936FA" w:rsidRDefault="00EE4664" w:rsidP="004D577A">
      <w:pPr>
        <w:numPr>
          <w:ilvl w:val="0"/>
          <w:numId w:val="19"/>
        </w:numPr>
        <w:spacing w:after="0" w:line="360" w:lineRule="auto"/>
        <w:jc w:val="both"/>
        <w:rPr>
          <w:rFonts w:cs="Tahoma"/>
          <w:sz w:val="22"/>
          <w:lang w:eastAsia="es-ES_tradnl"/>
        </w:rPr>
      </w:pPr>
      <w:r w:rsidRPr="005936FA">
        <w:rPr>
          <w:rFonts w:cs="Tahoma"/>
          <w:b/>
          <w:bCs/>
          <w:sz w:val="22"/>
          <w:lang w:eastAsia="es-ES_tradnl"/>
        </w:rPr>
        <w:t>Operativos policiales de control vehicular en los perímetros penitenciarios</w:t>
      </w:r>
      <w:r w:rsidRPr="005936FA">
        <w:rPr>
          <w:rFonts w:cs="Tahoma"/>
          <w:sz w:val="22"/>
          <w:lang w:eastAsia="es-ES_tradnl"/>
        </w:rPr>
        <w:t xml:space="preserve">, realizados de manera interinstitucional, con el objetivo de fortalecer el control sobre las </w:t>
      </w:r>
      <w:r w:rsidRPr="005936FA">
        <w:rPr>
          <w:rFonts w:cs="Tahoma"/>
          <w:sz w:val="22"/>
          <w:lang w:eastAsia="es-ES_tradnl"/>
        </w:rPr>
        <w:lastRenderedPageBreak/>
        <w:t xml:space="preserve">personas adscritas al Sistema Penitenciario que cumplen medidas con dispositivo electrónico y bajo la modalidad Semi Institucional. Entre los operativos ejecutados se encuentran: </w:t>
      </w:r>
      <w:r w:rsidRPr="005936FA">
        <w:rPr>
          <w:rFonts w:cs="Tahoma"/>
          <w:i/>
          <w:iCs/>
          <w:sz w:val="22"/>
          <w:lang w:eastAsia="es-ES_tradnl"/>
        </w:rPr>
        <w:t>Operativo Enero Sostenible</w:t>
      </w:r>
      <w:r w:rsidRPr="005936FA">
        <w:rPr>
          <w:rFonts w:cs="Tahoma"/>
          <w:sz w:val="22"/>
          <w:lang w:eastAsia="es-ES_tradnl"/>
        </w:rPr>
        <w:t xml:space="preserve">, </w:t>
      </w:r>
      <w:r w:rsidRPr="005936FA">
        <w:rPr>
          <w:rFonts w:cs="Tahoma"/>
          <w:i/>
          <w:iCs/>
          <w:sz w:val="22"/>
          <w:lang w:eastAsia="es-ES_tradnl"/>
        </w:rPr>
        <w:t>Operativo Interinstitucional Tolerancia Cero</w:t>
      </w:r>
      <w:r w:rsidRPr="005936FA">
        <w:rPr>
          <w:rFonts w:cs="Tahoma"/>
          <w:sz w:val="22"/>
          <w:lang w:eastAsia="es-ES_tradnl"/>
        </w:rPr>
        <w:t xml:space="preserve">, </w:t>
      </w:r>
      <w:r w:rsidRPr="005936FA">
        <w:rPr>
          <w:rFonts w:cs="Tahoma"/>
          <w:i/>
          <w:iCs/>
          <w:sz w:val="22"/>
          <w:lang w:eastAsia="es-ES_tradnl"/>
        </w:rPr>
        <w:t>Operativo Interinstitucional Semana Santa</w:t>
      </w:r>
      <w:r w:rsidRPr="005936FA">
        <w:rPr>
          <w:rFonts w:cs="Tahoma"/>
          <w:sz w:val="22"/>
          <w:lang w:eastAsia="es-ES_tradnl"/>
        </w:rPr>
        <w:t xml:space="preserve">, </w:t>
      </w:r>
      <w:r w:rsidRPr="005936FA">
        <w:rPr>
          <w:rFonts w:cs="Tahoma"/>
          <w:i/>
          <w:iCs/>
          <w:sz w:val="22"/>
          <w:lang w:eastAsia="es-ES_tradnl"/>
        </w:rPr>
        <w:t>Operativo Interinstitucional Costa Rica Segura</w:t>
      </w:r>
      <w:r w:rsidRPr="005936FA">
        <w:rPr>
          <w:rFonts w:cs="Tahoma"/>
          <w:sz w:val="22"/>
          <w:lang w:eastAsia="es-ES_tradnl"/>
        </w:rPr>
        <w:t xml:space="preserve"> y otros operativos articulados de carácter interinstitucional. Cabe destacar que las acciones desarrolladas por la Unidad de Monitoreo Electrónico y la Unidad de Seguimiento </w:t>
      </w:r>
      <w:proofErr w:type="spellStart"/>
      <w:r w:rsidRPr="005936FA">
        <w:rPr>
          <w:rFonts w:cs="Tahoma"/>
          <w:sz w:val="22"/>
          <w:lang w:eastAsia="es-ES_tradnl"/>
        </w:rPr>
        <w:t>Extrapenitenciario</w:t>
      </w:r>
      <w:proofErr w:type="spellEnd"/>
      <w:r w:rsidRPr="005936FA">
        <w:rPr>
          <w:rFonts w:cs="Tahoma"/>
          <w:sz w:val="22"/>
          <w:lang w:eastAsia="es-ES_tradnl"/>
        </w:rPr>
        <w:t xml:space="preserve"> se realizan de manera permanente.</w:t>
      </w:r>
    </w:p>
    <w:p w14:paraId="0B1EADDC" w14:textId="77777777" w:rsidR="00EE4664" w:rsidRPr="005936FA" w:rsidRDefault="00EE4664" w:rsidP="004D577A">
      <w:pPr>
        <w:numPr>
          <w:ilvl w:val="0"/>
          <w:numId w:val="19"/>
        </w:numPr>
        <w:spacing w:after="0" w:line="360" w:lineRule="auto"/>
        <w:jc w:val="both"/>
        <w:rPr>
          <w:rFonts w:cs="Tahoma"/>
          <w:sz w:val="22"/>
          <w:lang w:eastAsia="es-ES_tradnl"/>
        </w:rPr>
      </w:pPr>
      <w:r w:rsidRPr="005936FA">
        <w:rPr>
          <w:rFonts w:cs="Tahoma"/>
          <w:b/>
          <w:bCs/>
          <w:sz w:val="22"/>
          <w:lang w:eastAsia="es-ES_tradnl"/>
        </w:rPr>
        <w:t>Revisión de encomiendas</w:t>
      </w:r>
      <w:r w:rsidRPr="005936FA">
        <w:rPr>
          <w:rFonts w:cs="Tahoma"/>
          <w:sz w:val="22"/>
          <w:lang w:eastAsia="es-ES_tradnl"/>
        </w:rPr>
        <w:t xml:space="preserve"> que ingresan a los centros penitenciarios, como medida preventiva para evitar el ingreso de artículos y sustancias prohibidas.</w:t>
      </w:r>
    </w:p>
    <w:p w14:paraId="33008466" w14:textId="77777777" w:rsidR="00EE4664" w:rsidRPr="005936FA" w:rsidRDefault="00EE4664" w:rsidP="004D577A">
      <w:pPr>
        <w:numPr>
          <w:ilvl w:val="0"/>
          <w:numId w:val="19"/>
        </w:numPr>
        <w:spacing w:after="0" w:line="360" w:lineRule="auto"/>
        <w:jc w:val="both"/>
        <w:rPr>
          <w:rFonts w:cs="Tahoma"/>
          <w:sz w:val="22"/>
          <w:lang w:eastAsia="es-ES_tradnl"/>
        </w:rPr>
      </w:pPr>
      <w:r w:rsidRPr="005936FA">
        <w:rPr>
          <w:rFonts w:cs="Tahoma"/>
          <w:b/>
          <w:bCs/>
          <w:sz w:val="22"/>
          <w:lang w:eastAsia="es-ES_tradnl"/>
        </w:rPr>
        <w:t>Operación policial sostenida</w:t>
      </w:r>
      <w:r w:rsidRPr="005936FA">
        <w:rPr>
          <w:rFonts w:cs="Tahoma"/>
          <w:sz w:val="22"/>
          <w:lang w:eastAsia="es-ES_tradnl"/>
        </w:rPr>
        <w:t>, mediante intervenciones constantes de la Policía Penitenciaria dentro de los centros penitenciarios.</w:t>
      </w:r>
    </w:p>
    <w:p w14:paraId="35E40EBA" w14:textId="77777777" w:rsidR="00EE4664" w:rsidRPr="005936FA" w:rsidRDefault="00EE4664" w:rsidP="004D577A">
      <w:pPr>
        <w:numPr>
          <w:ilvl w:val="0"/>
          <w:numId w:val="19"/>
        </w:numPr>
        <w:spacing w:after="0" w:line="360" w:lineRule="auto"/>
        <w:jc w:val="both"/>
        <w:rPr>
          <w:rFonts w:cs="Tahoma"/>
          <w:sz w:val="22"/>
          <w:lang w:eastAsia="es-ES_tradnl"/>
        </w:rPr>
      </w:pPr>
      <w:r w:rsidRPr="005936FA">
        <w:rPr>
          <w:rFonts w:cs="Tahoma"/>
          <w:b/>
          <w:bCs/>
          <w:sz w:val="22"/>
          <w:lang w:eastAsia="es-ES_tradnl"/>
        </w:rPr>
        <w:t>Coordinación de información de inteligencia</w:t>
      </w:r>
      <w:r w:rsidRPr="005936FA">
        <w:rPr>
          <w:rFonts w:cs="Tahoma"/>
          <w:sz w:val="22"/>
          <w:lang w:eastAsia="es-ES_tradnl"/>
        </w:rPr>
        <w:t>, orientada a la contención y el combate de las acciones del crimen organizado, en articulación con otras instancias clave.</w:t>
      </w:r>
    </w:p>
    <w:p w14:paraId="0915CEF7" w14:textId="77777777" w:rsidR="00EE4664" w:rsidRPr="005936FA" w:rsidRDefault="00EE4664" w:rsidP="00BE4BDB">
      <w:pPr>
        <w:spacing w:before="240" w:after="240" w:line="360" w:lineRule="auto"/>
        <w:jc w:val="both"/>
        <w:rPr>
          <w:rFonts w:cs="Tahoma"/>
          <w:sz w:val="22"/>
          <w:lang w:eastAsia="es-ES_tradnl"/>
        </w:rPr>
      </w:pPr>
      <w:r w:rsidRPr="005936FA">
        <w:rPr>
          <w:rFonts w:cs="Tahoma"/>
          <w:sz w:val="22"/>
          <w:lang w:eastAsia="es-ES_tradnl"/>
        </w:rPr>
        <w:t>Como resultado de estas acciones, se obtuvieron los siguientes logros:</w:t>
      </w:r>
    </w:p>
    <w:p w14:paraId="24B18198" w14:textId="77777777" w:rsidR="00EE4664" w:rsidRPr="005936FA" w:rsidRDefault="00EE4664" w:rsidP="004D577A">
      <w:pPr>
        <w:numPr>
          <w:ilvl w:val="0"/>
          <w:numId w:val="20"/>
        </w:numPr>
        <w:spacing w:after="0" w:line="360" w:lineRule="auto"/>
        <w:jc w:val="both"/>
        <w:rPr>
          <w:rFonts w:cs="Tahoma"/>
          <w:sz w:val="22"/>
          <w:lang w:eastAsia="es-ES_tradnl"/>
        </w:rPr>
      </w:pPr>
      <w:r w:rsidRPr="005936FA">
        <w:rPr>
          <w:rFonts w:cs="Tahoma"/>
          <w:sz w:val="22"/>
          <w:lang w:eastAsia="es-ES_tradnl"/>
        </w:rPr>
        <w:t>Se realizaron 315 operativos policiales de control vehicular en los perímetros penitenciarios, en coordinación con otros cuerpos policiales, en los cuales se abordaron 6.212 vehículos y 713 personas, se decomisaron 72 placas y se confeccionaron 156 boletas de infracción.</w:t>
      </w:r>
    </w:p>
    <w:p w14:paraId="48C56FF9" w14:textId="77777777" w:rsidR="00EE4664" w:rsidRPr="005936FA" w:rsidRDefault="00EE4664" w:rsidP="004D577A">
      <w:pPr>
        <w:numPr>
          <w:ilvl w:val="0"/>
          <w:numId w:val="20"/>
        </w:numPr>
        <w:spacing w:after="0" w:line="360" w:lineRule="auto"/>
        <w:jc w:val="both"/>
        <w:rPr>
          <w:rFonts w:cs="Tahoma"/>
          <w:sz w:val="22"/>
          <w:lang w:eastAsia="es-ES_tradnl"/>
        </w:rPr>
      </w:pPr>
      <w:r w:rsidRPr="005936FA">
        <w:rPr>
          <w:rFonts w:cs="Tahoma"/>
          <w:sz w:val="22"/>
          <w:lang w:eastAsia="es-ES_tradnl"/>
        </w:rPr>
        <w:t>Se efectuó la revisión de 425.327 encomiendas de artículos que ingresaron a los centros penitenciarios, lo que permitió prevenir el ingreso de objetos y sustancias prohibidas.</w:t>
      </w:r>
    </w:p>
    <w:p w14:paraId="59656F6F" w14:textId="77777777" w:rsidR="00EE4664" w:rsidRPr="005936FA" w:rsidRDefault="00EE4664" w:rsidP="004D577A">
      <w:pPr>
        <w:numPr>
          <w:ilvl w:val="0"/>
          <w:numId w:val="20"/>
        </w:numPr>
        <w:spacing w:after="0" w:line="360" w:lineRule="auto"/>
        <w:jc w:val="both"/>
        <w:rPr>
          <w:rFonts w:cs="Tahoma"/>
          <w:sz w:val="22"/>
          <w:lang w:eastAsia="es-ES_tradnl"/>
        </w:rPr>
      </w:pPr>
      <w:r w:rsidRPr="005936FA">
        <w:rPr>
          <w:rFonts w:cs="Tahoma"/>
          <w:sz w:val="22"/>
          <w:lang w:eastAsia="es-ES_tradnl"/>
        </w:rPr>
        <w:t>La operación policial sostenida de la Policía Penitenciaria permitió el decomiso de 8.666 teléfonos celulares, 11.962 chips, 15.674 artículos electrónicos, 721,889 kilogramos de droga, 61.429 armas blancas y 31.716 litros de bebidas etílicas. Estas acciones derivaron en la remisión de 2.433 personas al Ministerio Público.</w:t>
      </w:r>
    </w:p>
    <w:p w14:paraId="2370D635" w14:textId="77777777" w:rsidR="00EE4664" w:rsidRPr="005936FA" w:rsidRDefault="00EE4664" w:rsidP="004D577A">
      <w:pPr>
        <w:numPr>
          <w:ilvl w:val="0"/>
          <w:numId w:val="20"/>
        </w:numPr>
        <w:spacing w:after="0" w:line="360" w:lineRule="auto"/>
        <w:jc w:val="both"/>
        <w:rPr>
          <w:rFonts w:cs="Tahoma"/>
          <w:sz w:val="22"/>
          <w:lang w:eastAsia="es-ES_tradnl"/>
        </w:rPr>
      </w:pPr>
      <w:r w:rsidRPr="005936FA">
        <w:rPr>
          <w:rFonts w:cs="Tahoma"/>
          <w:sz w:val="22"/>
          <w:lang w:eastAsia="es-ES_tradnl"/>
        </w:rPr>
        <w:t>La coordinación de información de inteligencia entre la Policía Penitenciaria y otras instancias permitió la atención de 613 alertas de inteligencia y la evacuación de 2.366 consultas a diversas entidades.</w:t>
      </w:r>
    </w:p>
    <w:p w14:paraId="4993A9AE" w14:textId="4B285638" w:rsidR="00E260A2" w:rsidRPr="005936FA" w:rsidRDefault="00E260A2" w:rsidP="004D577A">
      <w:pPr>
        <w:spacing w:before="240" w:after="240" w:line="360" w:lineRule="auto"/>
        <w:jc w:val="both"/>
        <w:rPr>
          <w:rFonts w:cs="Tahoma"/>
          <w:sz w:val="22"/>
        </w:rPr>
      </w:pPr>
      <w:r w:rsidRPr="005936FA">
        <w:rPr>
          <w:rFonts w:cs="Tahoma"/>
          <w:sz w:val="22"/>
        </w:rPr>
        <w:lastRenderedPageBreak/>
        <w:t>Además, el Instituto Costarricense sobre Drogas (ICD), durante el año 2025, ejecutó múltiples acciones que incidieron en los resultados de la meta sectorial, entre las cuales se destacan las siguientes:</w:t>
      </w:r>
    </w:p>
    <w:p w14:paraId="40E14EFA" w14:textId="77777777" w:rsidR="00E260A2" w:rsidRPr="005936FA" w:rsidRDefault="00E260A2" w:rsidP="004D577A">
      <w:pPr>
        <w:numPr>
          <w:ilvl w:val="0"/>
          <w:numId w:val="23"/>
        </w:numPr>
        <w:spacing w:after="0" w:line="360" w:lineRule="auto"/>
        <w:jc w:val="both"/>
        <w:rPr>
          <w:rFonts w:cs="Tahoma"/>
          <w:sz w:val="22"/>
        </w:rPr>
      </w:pPr>
      <w:r w:rsidRPr="005936FA">
        <w:rPr>
          <w:rFonts w:cs="Tahoma"/>
          <w:sz w:val="22"/>
        </w:rPr>
        <w:t>Acciones policiales y de inteligencia: se desarrollaron 1.584 actividades de generación de productos de inteligencia, atendidas al 100 %, las cuales incrementaron la efectividad operativa mediante la focalización de objetivos y el fortalecimiento de la calidad de los casos, impactando positivamente en los procesos de detención y desarticulación de estructuras criminales.</w:t>
      </w:r>
    </w:p>
    <w:p w14:paraId="185250F4" w14:textId="6EAD0114" w:rsidR="005A2512" w:rsidRPr="005936FA" w:rsidRDefault="00E260A2" w:rsidP="004D577A">
      <w:pPr>
        <w:numPr>
          <w:ilvl w:val="0"/>
          <w:numId w:val="23"/>
        </w:numPr>
        <w:spacing w:after="0" w:line="360" w:lineRule="auto"/>
        <w:jc w:val="both"/>
        <w:rPr>
          <w:rFonts w:cs="Tahoma"/>
          <w:sz w:val="22"/>
        </w:rPr>
      </w:pPr>
      <w:r w:rsidRPr="005936FA">
        <w:rPr>
          <w:rFonts w:cs="Tahoma"/>
          <w:sz w:val="22"/>
        </w:rPr>
        <w:t xml:space="preserve">Fortalecimiento de capacidades institucionales: ejecución de capacitaciones, donaciones, procesos de seguimiento y coordinación con cuerpos policiales y judiciales, orientadas al fortalecimiento de las capacidades tácticas y logísticas de las agencias </w:t>
      </w:r>
      <w:r w:rsidR="005A2512" w:rsidRPr="005936FA">
        <w:rPr>
          <w:rFonts w:cs="Tahoma"/>
          <w:sz w:val="22"/>
        </w:rPr>
        <w:t xml:space="preserve">policiales y judiciales. </w:t>
      </w:r>
    </w:p>
    <w:p w14:paraId="6FBD9C90" w14:textId="77777777" w:rsidR="00E260A2" w:rsidRPr="005936FA" w:rsidRDefault="00E260A2" w:rsidP="004D577A">
      <w:pPr>
        <w:numPr>
          <w:ilvl w:val="0"/>
          <w:numId w:val="23"/>
        </w:numPr>
        <w:spacing w:after="0" w:line="360" w:lineRule="auto"/>
        <w:jc w:val="both"/>
        <w:rPr>
          <w:rFonts w:cs="Tahoma"/>
          <w:sz w:val="22"/>
        </w:rPr>
      </w:pPr>
      <w:r w:rsidRPr="005936FA">
        <w:rPr>
          <w:rFonts w:cs="Tahoma"/>
          <w:sz w:val="22"/>
        </w:rPr>
        <w:t>Soporte tecnológico: implementación y acompañamiento del Sistema de Control de Registros (SICORE) en agencias policiales, mejorando la gestión, trazabilidad y confiabilidad de la información operativa.</w:t>
      </w:r>
    </w:p>
    <w:p w14:paraId="582C258A" w14:textId="2A69A945" w:rsidR="00E260A2" w:rsidRPr="005936FA" w:rsidRDefault="00E260A2" w:rsidP="004D577A">
      <w:pPr>
        <w:numPr>
          <w:ilvl w:val="0"/>
          <w:numId w:val="23"/>
        </w:numPr>
        <w:spacing w:after="0" w:line="360" w:lineRule="auto"/>
        <w:jc w:val="both"/>
        <w:rPr>
          <w:rFonts w:cs="Tahoma"/>
          <w:sz w:val="22"/>
        </w:rPr>
      </w:pPr>
      <w:r w:rsidRPr="005936FA">
        <w:rPr>
          <w:rFonts w:cs="Tahoma"/>
          <w:sz w:val="22"/>
        </w:rPr>
        <w:t xml:space="preserve">Certificación de información: emisión de 3.451 datos certificados derivados de consultas policiales, lo cual contribuyó a fortalecer la confiabilidad de la información utilizada por </w:t>
      </w:r>
      <w:r w:rsidR="000223E5" w:rsidRPr="005936FA">
        <w:rPr>
          <w:rFonts w:cs="Tahoma"/>
          <w:sz w:val="22"/>
        </w:rPr>
        <w:t xml:space="preserve">la policía y fiscalía </w:t>
      </w:r>
    </w:p>
    <w:p w14:paraId="30A90842" w14:textId="77777777" w:rsidR="00E260A2" w:rsidRPr="005936FA" w:rsidRDefault="00E260A2" w:rsidP="004D577A">
      <w:pPr>
        <w:numPr>
          <w:ilvl w:val="0"/>
          <w:numId w:val="23"/>
        </w:numPr>
        <w:spacing w:after="0" w:line="360" w:lineRule="auto"/>
        <w:jc w:val="both"/>
        <w:rPr>
          <w:rFonts w:cs="Tahoma"/>
          <w:sz w:val="22"/>
        </w:rPr>
      </w:pPr>
      <w:r w:rsidRPr="005936FA">
        <w:rPr>
          <w:rFonts w:cs="Tahoma"/>
          <w:sz w:val="22"/>
        </w:rPr>
        <w:t>Control de precursores químicos: realización de 23 inspecciones, auditorías y tomas de muestras, orientadas a prevenir el desvío de precursores químicos hacia la producción ilícita de drogas.</w:t>
      </w:r>
    </w:p>
    <w:p w14:paraId="5FAE9FBF" w14:textId="77777777" w:rsidR="00E260A2" w:rsidRPr="005936FA" w:rsidRDefault="00E260A2" w:rsidP="004D577A">
      <w:pPr>
        <w:numPr>
          <w:ilvl w:val="0"/>
          <w:numId w:val="23"/>
        </w:numPr>
        <w:spacing w:after="0" w:line="360" w:lineRule="auto"/>
        <w:jc w:val="both"/>
        <w:rPr>
          <w:rFonts w:cs="Tahoma"/>
          <w:sz w:val="22"/>
        </w:rPr>
      </w:pPr>
      <w:r w:rsidRPr="005936FA">
        <w:rPr>
          <w:rFonts w:cs="Tahoma"/>
          <w:sz w:val="22"/>
        </w:rPr>
        <w:t>Gestión de trámites de precursores y comercio exterior: resolución de 8.178 trámites de comercio exterior y 1.078 trámites de comercio local relacionados con precursores químicos y máquinas controladas (importaciones, exportaciones, tránsito, licencias, entre otros).</w:t>
      </w:r>
    </w:p>
    <w:p w14:paraId="2D1B83B6" w14:textId="08989DA1" w:rsidR="00AE6378" w:rsidRPr="005936FA" w:rsidRDefault="00E260A2" w:rsidP="004D577A">
      <w:pPr>
        <w:numPr>
          <w:ilvl w:val="0"/>
          <w:numId w:val="23"/>
        </w:numPr>
        <w:spacing w:after="0" w:line="360" w:lineRule="auto"/>
        <w:jc w:val="both"/>
        <w:rPr>
          <w:rFonts w:cs="Tahoma"/>
          <w:sz w:val="22"/>
        </w:rPr>
      </w:pPr>
      <w:r w:rsidRPr="005936FA">
        <w:rPr>
          <w:rFonts w:cs="Tahoma"/>
          <w:sz w:val="22"/>
        </w:rPr>
        <w:t>Capacitación especializada: ejecución de cinco capacitaciones dirigidas a autoridades competentes en materia de control de precursores, con el fin de fortalecer las capacidades de</w:t>
      </w:r>
      <w:r w:rsidR="00AE6378" w:rsidRPr="005936FA">
        <w:rPr>
          <w:rFonts w:cs="Tahoma"/>
          <w:sz w:val="22"/>
        </w:rPr>
        <w:t xml:space="preserve"> control y detección. </w:t>
      </w:r>
    </w:p>
    <w:p w14:paraId="4E0789D4" w14:textId="77777777" w:rsidR="00E260A2" w:rsidRPr="005936FA" w:rsidRDefault="00E260A2" w:rsidP="004F1510">
      <w:pPr>
        <w:numPr>
          <w:ilvl w:val="0"/>
          <w:numId w:val="23"/>
        </w:numPr>
        <w:spacing w:after="0" w:line="360" w:lineRule="auto"/>
        <w:jc w:val="both"/>
        <w:rPr>
          <w:rFonts w:cs="Tahoma"/>
          <w:sz w:val="22"/>
        </w:rPr>
      </w:pPr>
      <w:r w:rsidRPr="005936FA">
        <w:rPr>
          <w:rFonts w:cs="Tahoma"/>
          <w:sz w:val="22"/>
        </w:rPr>
        <w:lastRenderedPageBreak/>
        <w:t>Análisis financiero y prevención del lavado de activos: atención de 262 casos urgentes y valoración de 736 Reportes de Operación Sospechosa (ROS) conforme a perfiles de riesgo establecidos.</w:t>
      </w:r>
    </w:p>
    <w:p w14:paraId="123F6043" w14:textId="77777777" w:rsidR="00E260A2" w:rsidRPr="005936FA" w:rsidRDefault="00E260A2" w:rsidP="004F1510">
      <w:pPr>
        <w:numPr>
          <w:ilvl w:val="0"/>
          <w:numId w:val="23"/>
        </w:numPr>
        <w:spacing w:after="0" w:line="360" w:lineRule="auto"/>
        <w:jc w:val="both"/>
        <w:rPr>
          <w:rFonts w:cs="Tahoma"/>
          <w:sz w:val="22"/>
        </w:rPr>
      </w:pPr>
      <w:r w:rsidRPr="005936FA">
        <w:rPr>
          <w:rFonts w:cs="Tahoma"/>
          <w:sz w:val="22"/>
        </w:rPr>
        <w:t>Inmovilización de recursos ilícitos: ejecución de 109 congelamientos de fondos, contribuyendo a la interrupción del flujo financiero de organizaciones criminales.</w:t>
      </w:r>
    </w:p>
    <w:p w14:paraId="245CA071" w14:textId="77777777" w:rsidR="00E260A2" w:rsidRPr="005936FA" w:rsidRDefault="00E260A2" w:rsidP="004F1510">
      <w:pPr>
        <w:numPr>
          <w:ilvl w:val="0"/>
          <w:numId w:val="23"/>
        </w:numPr>
        <w:spacing w:after="0" w:line="360" w:lineRule="auto"/>
        <w:jc w:val="both"/>
        <w:rPr>
          <w:rFonts w:cs="Tahoma"/>
          <w:sz w:val="22"/>
        </w:rPr>
      </w:pPr>
      <w:r w:rsidRPr="005936FA">
        <w:rPr>
          <w:rFonts w:cs="Tahoma"/>
          <w:sz w:val="22"/>
        </w:rPr>
        <w:t>Difusión de alertas y comunicación estratégica: emisión de 108 alertas CSNU/OFAC y 29 boletines técnicos, dirigidos a autoridades competentes y sujetos obligados.</w:t>
      </w:r>
    </w:p>
    <w:p w14:paraId="7AC9D0A8" w14:textId="33C5E860" w:rsidR="00554C34" w:rsidRPr="005936FA" w:rsidRDefault="00AB40A3" w:rsidP="00BE4BDB">
      <w:pPr>
        <w:spacing w:before="240" w:after="240" w:line="360" w:lineRule="auto"/>
        <w:jc w:val="both"/>
        <w:rPr>
          <w:rFonts w:cs="Tahoma"/>
          <w:sz w:val="22"/>
        </w:rPr>
      </w:pPr>
      <w:r w:rsidRPr="005936FA">
        <w:rPr>
          <w:rFonts w:cs="Tahoma"/>
          <w:sz w:val="22"/>
        </w:rPr>
        <w:t>En el caso del</w:t>
      </w:r>
      <w:r w:rsidR="00554C34" w:rsidRPr="005936FA">
        <w:rPr>
          <w:rFonts w:cs="Tahoma"/>
          <w:sz w:val="22"/>
        </w:rPr>
        <w:t xml:space="preserve"> Sistema de Emergencias 9-1-1</w:t>
      </w:r>
      <w:r w:rsidRPr="005936FA">
        <w:rPr>
          <w:rFonts w:cs="Tahoma"/>
          <w:sz w:val="22"/>
        </w:rPr>
        <w:t xml:space="preserve">, en el 2025 </w:t>
      </w:r>
      <w:r w:rsidR="006734AA" w:rsidRPr="005936FA">
        <w:rPr>
          <w:rFonts w:cs="Tahoma"/>
          <w:sz w:val="22"/>
        </w:rPr>
        <w:t>se ejecutaron</w:t>
      </w:r>
      <w:r w:rsidR="00554C34" w:rsidRPr="005936FA">
        <w:rPr>
          <w:rFonts w:cs="Tahoma"/>
          <w:sz w:val="22"/>
        </w:rPr>
        <w:t xml:space="preserve"> acciones orientadas </w:t>
      </w:r>
      <w:r w:rsidR="000D0F4C" w:rsidRPr="005936FA">
        <w:rPr>
          <w:rFonts w:cs="Tahoma"/>
          <w:sz w:val="22"/>
        </w:rPr>
        <w:t xml:space="preserve">a la articulación interinstitucional mediante la apertura de despachos especializados (Policía Profesional de Migración, Policía Turística y Policía de Control de Drogas) y la actualización de clasificaciones de incidentes, mejorando la trazabilidad, el registro y la respuesta operativa ante problemáticas relevantes para la seguridad </w:t>
      </w:r>
      <w:r w:rsidR="004F7E6E" w:rsidRPr="005936FA">
        <w:rPr>
          <w:rFonts w:cs="Tahoma"/>
          <w:sz w:val="22"/>
        </w:rPr>
        <w:t>ciudadana.</w:t>
      </w:r>
    </w:p>
    <w:p w14:paraId="10358008" w14:textId="77777777" w:rsidR="004F1510" w:rsidRPr="005936FA" w:rsidRDefault="004F1510" w:rsidP="004F1510">
      <w:pPr>
        <w:pStyle w:val="Direccininterior"/>
        <w:spacing w:before="240" w:after="240" w:line="360" w:lineRule="auto"/>
        <w:rPr>
          <w:rFonts w:ascii="Tahoma" w:hAnsi="Tahoma" w:cs="Tahoma"/>
          <w:sz w:val="22"/>
          <w:szCs w:val="22"/>
        </w:rPr>
      </w:pPr>
      <w:r w:rsidRPr="005936FA">
        <w:rPr>
          <w:rFonts w:ascii="Tahoma" w:hAnsi="Tahoma" w:cs="Tahoma"/>
          <w:sz w:val="22"/>
          <w:szCs w:val="22"/>
        </w:rPr>
        <w:t>Todas las acciones desarrolladas, junto con otras iniciativas implementadas a nivel sectorial, han generado beneficios concretos para la población costarricense, al contribuir de manera sostenida a la construcción de un país más seguro y a la promoción de una convivencia social basada en el respeto de los derechos y libertades fundamentales propios del Estado de Derecho.</w:t>
      </w:r>
    </w:p>
    <w:p w14:paraId="6F7D615C" w14:textId="493CA8D1" w:rsidR="004F1510" w:rsidRPr="005936FA" w:rsidRDefault="003877DD" w:rsidP="004F1510">
      <w:pPr>
        <w:pStyle w:val="Direccininterior"/>
        <w:spacing w:before="240" w:after="240" w:line="360" w:lineRule="auto"/>
        <w:rPr>
          <w:rFonts w:ascii="Tahoma" w:hAnsi="Tahoma" w:cs="Tahoma"/>
          <w:sz w:val="22"/>
          <w:szCs w:val="22"/>
        </w:rPr>
      </w:pPr>
      <w:r w:rsidRPr="005936FA">
        <w:rPr>
          <w:rFonts w:ascii="Tahoma" w:hAnsi="Tahoma" w:cs="Tahoma"/>
          <w:sz w:val="22"/>
          <w:szCs w:val="22"/>
        </w:rPr>
        <w:t>En fin, d</w:t>
      </w:r>
      <w:r w:rsidR="004F1510" w:rsidRPr="005936FA">
        <w:rPr>
          <w:rFonts w:ascii="Tahoma" w:hAnsi="Tahoma" w:cs="Tahoma"/>
          <w:sz w:val="22"/>
          <w:szCs w:val="22"/>
        </w:rPr>
        <w:t>urante el período 2023–2025, tanto a nivel nacional como regional, se evidencia una mejora sostenida en la tasa de delitos por cada 100.000 habitantes, reflejando un impacto positivo en las condiciones de seguridad de la población. A nivel nacional, la tasa de delitos se redujo en un 16,9</w:t>
      </w:r>
      <w:r w:rsidR="00883829" w:rsidRPr="005936FA">
        <w:rPr>
          <w:rFonts w:ascii="Tahoma" w:hAnsi="Tahoma" w:cs="Tahoma"/>
          <w:sz w:val="22"/>
          <w:szCs w:val="22"/>
        </w:rPr>
        <w:t>3</w:t>
      </w:r>
      <w:r w:rsidR="004F1510" w:rsidRPr="005936FA">
        <w:rPr>
          <w:rFonts w:ascii="Tahoma" w:hAnsi="Tahoma" w:cs="Tahoma"/>
          <w:sz w:val="22"/>
          <w:szCs w:val="22"/>
        </w:rPr>
        <w:t>%, mientras que, en el ámbito regional, las disminuciones acumuladas oscilaron entre el 16% y el 31%, lo que permitió alcanzar un alto nivel de cumplimiento del indicador en la mayoría de las regiones de planificación.</w:t>
      </w:r>
    </w:p>
    <w:p w14:paraId="380CF7F0" w14:textId="77777777" w:rsidR="004F1510" w:rsidRPr="005936FA" w:rsidRDefault="004F1510" w:rsidP="004F1510">
      <w:pPr>
        <w:pStyle w:val="Direccininterior"/>
        <w:spacing w:before="240" w:after="240" w:line="360" w:lineRule="auto"/>
        <w:rPr>
          <w:rFonts w:ascii="Tahoma" w:hAnsi="Tahoma" w:cs="Tahoma"/>
          <w:sz w:val="22"/>
          <w:szCs w:val="22"/>
        </w:rPr>
      </w:pPr>
      <w:r w:rsidRPr="005936FA">
        <w:rPr>
          <w:rFonts w:ascii="Tahoma" w:hAnsi="Tahoma" w:cs="Tahoma"/>
          <w:sz w:val="22"/>
          <w:szCs w:val="22"/>
        </w:rPr>
        <w:t xml:space="preserve">Este desempeño se traduce en avances significativos en la contención de la criminalidad, particularmente de los delitos contra la propiedad, lo que evidencia la efectividad de las acciones interinstitucionales de prevención, control policial y fortalecimiento de la seguridad ciudadana. Como logro principal, el cumplimiento del indicador generó una mejora tangible en las condiciones de seguridad territorial, destacándose regiones como Brunca (−30,87 %) y Huetar Norte (−26,05 %), donde la reducción de los delitos patrimoniales favoreció entornos más seguros para la movilidad, la </w:t>
      </w:r>
      <w:r w:rsidRPr="005936FA">
        <w:rPr>
          <w:rFonts w:ascii="Tahoma" w:hAnsi="Tahoma" w:cs="Tahoma"/>
          <w:sz w:val="22"/>
          <w:szCs w:val="22"/>
        </w:rPr>
        <w:lastRenderedPageBreak/>
        <w:t>actividad productiva y la convivencia comunitaria. En el caso de Huetar Norte, este logro se ve reforzado por el cumplimiento alto en todas las tipologías delictivas, incluido el homicidio, lo que refleja una mayor estabilidad y efectividad de las estrategias implementadas.</w:t>
      </w:r>
    </w:p>
    <w:p w14:paraId="64909338" w14:textId="5401E2DB" w:rsidR="004F1510" w:rsidRPr="005936FA" w:rsidRDefault="004F1510" w:rsidP="004F1510">
      <w:pPr>
        <w:pStyle w:val="Direccininterior"/>
        <w:spacing w:before="240" w:after="240" w:line="360" w:lineRule="auto"/>
        <w:rPr>
          <w:rFonts w:ascii="Tahoma" w:hAnsi="Tahoma" w:cs="Tahoma"/>
          <w:sz w:val="22"/>
          <w:szCs w:val="22"/>
        </w:rPr>
      </w:pPr>
      <w:r w:rsidRPr="005936FA">
        <w:rPr>
          <w:rFonts w:ascii="Tahoma" w:hAnsi="Tahoma" w:cs="Tahoma"/>
          <w:sz w:val="22"/>
          <w:szCs w:val="22"/>
        </w:rPr>
        <w:t>Asimismo, el cumplimiento del indicador permitió contener el crecimiento de la criminalidad en regiones con dinámicas delictivas complejas, como Pacífico Central y Huetar Caribe. En estos territorios, si bien persisten desafíos asociados a la violencia letal y al robo de vehículos, el efecto del logro alcanzado se manifiesta en la prevención de incrementos más severos en la tasa de delitos, evitando un deterioro mayor de la seguridad ciudadana.</w:t>
      </w:r>
    </w:p>
    <w:p w14:paraId="196CADCD" w14:textId="77777777" w:rsidR="004F1510" w:rsidRPr="005936FA" w:rsidRDefault="004F1510" w:rsidP="004F1510">
      <w:pPr>
        <w:pStyle w:val="Direccininterior"/>
        <w:spacing w:before="240" w:after="240" w:line="360" w:lineRule="auto"/>
        <w:rPr>
          <w:rFonts w:ascii="Tahoma" w:hAnsi="Tahoma" w:cs="Tahoma"/>
          <w:sz w:val="22"/>
          <w:szCs w:val="22"/>
        </w:rPr>
      </w:pPr>
      <w:r w:rsidRPr="005936FA">
        <w:rPr>
          <w:rFonts w:ascii="Tahoma" w:hAnsi="Tahoma" w:cs="Tahoma"/>
          <w:sz w:val="22"/>
          <w:szCs w:val="22"/>
        </w:rPr>
        <w:t>No obstante, el análisis muestra que los logros no han sido homogéneos en todas las tipologías delictivas. En particular, el homicidio se mantiene fuera del rango meta en varias regiones, con incrementos relevantes en Huetar Caribe y Pacífico Central y reducciones aún insuficientes en otras, constituyéndose en el principal factor que limita el alcance integral de la meta sectorial.</w:t>
      </w:r>
    </w:p>
    <w:p w14:paraId="79545EDF" w14:textId="77777777" w:rsidR="004F1510" w:rsidRPr="005936FA" w:rsidRDefault="004F1510" w:rsidP="004F1510">
      <w:pPr>
        <w:pStyle w:val="Direccininterior"/>
        <w:spacing w:before="240" w:after="240" w:line="360" w:lineRule="auto"/>
        <w:rPr>
          <w:rFonts w:ascii="Tahoma" w:hAnsi="Tahoma" w:cs="Tahoma"/>
          <w:sz w:val="22"/>
          <w:szCs w:val="22"/>
        </w:rPr>
      </w:pPr>
      <w:r w:rsidRPr="005936FA">
        <w:rPr>
          <w:rFonts w:ascii="Tahoma" w:hAnsi="Tahoma" w:cs="Tahoma"/>
          <w:sz w:val="22"/>
          <w:szCs w:val="22"/>
        </w:rPr>
        <w:t>En este contexto, los resultados obtenidos evidencian la necesidad de profundizar y focalizar las estrategias territoriales, priorizando intervenciones orientadas a la reducción de la violencia letal, sin descuidar las acciones que han demostrado efectividad en la contención de los delitos patrimoniales, con el fin de consolidar los logros alcanzados y ampliar su impacto en la seguridad ciudadana.</w:t>
      </w:r>
    </w:p>
    <w:p w14:paraId="34C88334" w14:textId="77777777" w:rsidR="004F1510" w:rsidRPr="005936FA" w:rsidRDefault="004F1510" w:rsidP="004F1510">
      <w:pPr>
        <w:pStyle w:val="Direccininterior"/>
        <w:spacing w:before="240" w:after="240" w:line="360" w:lineRule="auto"/>
        <w:rPr>
          <w:rFonts w:ascii="Tahoma" w:hAnsi="Tahoma" w:cs="Tahoma"/>
          <w:sz w:val="22"/>
          <w:szCs w:val="22"/>
        </w:rPr>
      </w:pPr>
      <w:r w:rsidRPr="005936FA">
        <w:rPr>
          <w:rFonts w:ascii="Tahoma" w:hAnsi="Tahoma" w:cs="Tahoma"/>
          <w:sz w:val="22"/>
          <w:szCs w:val="22"/>
        </w:rPr>
        <w:t>En síntesis, el cumplimiento del indicador se traduce en beneficios tangibles para la población, expresados en una reducción del riesgo delictivo, una mejora en la percepción de seguridad y el fortalecimiento de la convivencia social. A su vez, los resultados permiten identificar oportunidades de ajuste en la política pública para asegurar la sostenibilidad de los logros y potenciar su impacto en la reducción de los delitos de mayor gravedad.</w:t>
      </w:r>
    </w:p>
    <w:p w14:paraId="0B858F0F" w14:textId="65B33103" w:rsidR="0073029B" w:rsidRPr="005936FA" w:rsidRDefault="0073029B" w:rsidP="00F32094">
      <w:pPr>
        <w:pStyle w:val="Direccininterior"/>
        <w:numPr>
          <w:ilvl w:val="0"/>
          <w:numId w:val="11"/>
        </w:numPr>
        <w:spacing w:before="240" w:after="240" w:line="360" w:lineRule="auto"/>
        <w:rPr>
          <w:rFonts w:ascii="Tahoma" w:hAnsi="Tahoma" w:cs="Tahoma"/>
          <w:b/>
          <w:color w:val="000000"/>
          <w:sz w:val="22"/>
          <w:szCs w:val="22"/>
        </w:rPr>
      </w:pPr>
      <w:r w:rsidRPr="005936FA">
        <w:rPr>
          <w:rFonts w:ascii="Tahoma" w:hAnsi="Tahoma" w:cs="Tahoma"/>
          <w:b/>
          <w:color w:val="000000"/>
          <w:sz w:val="22"/>
          <w:szCs w:val="22"/>
        </w:rPr>
        <w:t>Región Brunca:</w:t>
      </w:r>
    </w:p>
    <w:p w14:paraId="1B670876" w14:textId="39F5672A" w:rsidR="007B50D4" w:rsidRPr="005936FA" w:rsidRDefault="007B50D4" w:rsidP="007B50D4">
      <w:pPr>
        <w:pStyle w:val="Direccininterior"/>
        <w:spacing w:before="240" w:after="240" w:line="360" w:lineRule="auto"/>
        <w:rPr>
          <w:rFonts w:ascii="Tahoma" w:hAnsi="Tahoma" w:cs="Tahoma"/>
          <w:sz w:val="22"/>
          <w:szCs w:val="22"/>
        </w:rPr>
      </w:pPr>
      <w:bookmarkStart w:id="12" w:name="_Hlk188608796"/>
      <w:r w:rsidRPr="005936FA">
        <w:rPr>
          <w:rFonts w:ascii="Tahoma" w:hAnsi="Tahoma" w:cs="Tahoma"/>
          <w:sz w:val="22"/>
          <w:szCs w:val="22"/>
        </w:rPr>
        <w:t>En la Región Brunca se evidencia una mejora significativa del indicador durante el período analizado, al pasar de 944,85 en 2023 a 845,80 en 2024, y registrar una reducción más pronunciada en 2025, con un valor de 653,14. Este comportamiento representa una disminución acumulada del 30,9 % entre 2023 y 2025, lo que permitió alcanzar una clasificación de cumplimiento alto.</w:t>
      </w:r>
    </w:p>
    <w:p w14:paraId="5ABC4CF7" w14:textId="77777777" w:rsidR="007B50D4" w:rsidRPr="005936FA" w:rsidRDefault="007B50D4" w:rsidP="007B50D4">
      <w:pPr>
        <w:pStyle w:val="Direccininterior"/>
        <w:spacing w:before="240" w:after="240" w:line="360" w:lineRule="auto"/>
        <w:rPr>
          <w:rFonts w:ascii="Tahoma" w:hAnsi="Tahoma" w:cs="Tahoma"/>
          <w:sz w:val="22"/>
          <w:szCs w:val="22"/>
        </w:rPr>
      </w:pPr>
      <w:r w:rsidRPr="005936FA">
        <w:rPr>
          <w:rFonts w:ascii="Tahoma" w:hAnsi="Tahoma" w:cs="Tahoma"/>
          <w:sz w:val="22"/>
          <w:szCs w:val="22"/>
        </w:rPr>
        <w:lastRenderedPageBreak/>
        <w:t>En esta región, el delito de homicidio presenta una reducción porcentual relevante en el período 2023–2025, al pasar de 16,78 homicidios por cada 100.000 habitantes en 2023 a 11,61 en 2025, equivalente a una disminución acumulada del 30,78 %. Este resultado evidencia avances concretos en la contención de la violencia letal; no obstante, el valor registrado en 2025 se mantiene por encima del rango meta establecido, por lo que el delito no cumple la meta, pese a la mejora observada.</w:t>
      </w:r>
    </w:p>
    <w:p w14:paraId="04E17F1E" w14:textId="77777777" w:rsidR="007B50D4" w:rsidRPr="005936FA" w:rsidRDefault="007B50D4" w:rsidP="007B50D4">
      <w:pPr>
        <w:pStyle w:val="Direccininterior"/>
        <w:spacing w:before="240" w:after="240" w:line="360" w:lineRule="auto"/>
        <w:rPr>
          <w:rFonts w:ascii="Tahoma" w:hAnsi="Tahoma" w:cs="Tahoma"/>
          <w:sz w:val="22"/>
          <w:szCs w:val="22"/>
        </w:rPr>
      </w:pPr>
      <w:r w:rsidRPr="005936FA">
        <w:rPr>
          <w:rFonts w:ascii="Tahoma" w:hAnsi="Tahoma" w:cs="Tahoma"/>
          <w:sz w:val="22"/>
          <w:szCs w:val="22"/>
        </w:rPr>
        <w:t>En cuanto al robo de vehículos, se registra una reducción importante entre 2023 y 2024, al disminuir de 86,02 a 60,19, lo que representa una caída del 30,0 %. Sin embargo, entre 2024 y 2025 se observa un leve incremento del 1,18 %, alcanzando un valor de 60,90 en 2025. Aun así, en términos acumulados, el delito presenta una disminución del 29,21 % entre 2023 y 2025, aunque el resultado final se mantiene fuera del rango meta.</w:t>
      </w:r>
    </w:p>
    <w:p w14:paraId="59D65E24" w14:textId="77777777" w:rsidR="007B50D4" w:rsidRPr="005936FA" w:rsidRDefault="007B50D4" w:rsidP="007B50D4">
      <w:pPr>
        <w:pStyle w:val="Direccininterior"/>
        <w:spacing w:before="240" w:after="240" w:line="360" w:lineRule="auto"/>
        <w:rPr>
          <w:rFonts w:ascii="Tahoma" w:hAnsi="Tahoma" w:cs="Tahoma"/>
          <w:sz w:val="22"/>
          <w:szCs w:val="22"/>
        </w:rPr>
      </w:pPr>
      <w:r w:rsidRPr="005936FA">
        <w:rPr>
          <w:rFonts w:ascii="Tahoma" w:hAnsi="Tahoma" w:cs="Tahoma"/>
          <w:sz w:val="22"/>
          <w:szCs w:val="22"/>
        </w:rPr>
        <w:t>En síntesis, si bien ambos delitos muestran reducciones porcentuales significativas en el período analizado, los niveles alcanzados en 2025 aún resultan insuficientes para cumplir con los rangos establecidos, lo que evidencia la necesidad de reforzar intervenciones focalizadas para la contención de la violencia homicida y el robo de vehículos en la Región Brunca.</w:t>
      </w:r>
    </w:p>
    <w:p w14:paraId="0FE6666B" w14:textId="77777777" w:rsidR="007B50D4" w:rsidRPr="005936FA" w:rsidRDefault="007B50D4" w:rsidP="007B50D4">
      <w:pPr>
        <w:pStyle w:val="Direccininterior"/>
        <w:spacing w:before="240" w:after="240" w:line="360" w:lineRule="auto"/>
        <w:rPr>
          <w:rFonts w:ascii="Tahoma" w:hAnsi="Tahoma" w:cs="Tahoma"/>
          <w:sz w:val="22"/>
          <w:szCs w:val="22"/>
        </w:rPr>
      </w:pPr>
      <w:r w:rsidRPr="005936FA">
        <w:rPr>
          <w:rFonts w:ascii="Tahoma" w:hAnsi="Tahoma" w:cs="Tahoma"/>
          <w:sz w:val="22"/>
          <w:szCs w:val="22"/>
        </w:rPr>
        <w:t>Entre las acciones que contribuyeron al cumplimiento de la meta en la región destacan el desarrollo de operaciones articuladas, mediante la Operación Tolerancia Cero y la Operación Carga Pesada, orientadas a la prevención y contención de los delitos contra la propiedad (DCLP) y la vida (DCLV).</w:t>
      </w:r>
    </w:p>
    <w:p w14:paraId="14F3DA76" w14:textId="0347A042" w:rsidR="007B50D4" w:rsidRDefault="007B50D4" w:rsidP="007B50D4">
      <w:pPr>
        <w:pStyle w:val="Direccininterior"/>
        <w:spacing w:before="240" w:after="240" w:line="360" w:lineRule="auto"/>
        <w:rPr>
          <w:rFonts w:ascii="Tahoma" w:hAnsi="Tahoma" w:cs="Tahoma"/>
          <w:sz w:val="22"/>
          <w:szCs w:val="22"/>
        </w:rPr>
      </w:pPr>
      <w:r w:rsidRPr="005936FA">
        <w:rPr>
          <w:rFonts w:ascii="Tahoma" w:hAnsi="Tahoma" w:cs="Tahoma"/>
          <w:sz w:val="22"/>
          <w:szCs w:val="22"/>
        </w:rPr>
        <w:t>En conjunto, los resultados obtenidos en la Región Brunca reflejan logros relevantes en la mejora de las condiciones de seguridad ciudadana, evidenciados en la reducción sostenida de la tasa de delitos por cada 100.000 habitantes y en la disminución de delitos de alto impacto social durante el período 2023–2025. El cumplimiento alto del indicador representa un beneficio directo para la población, al reducir el riesgo delictivo, fortalecer la convivencia social y mejorar la percepción de seguridad. Estos avances han contribuido a consolidar entornos más seguros para la movilidad, la actividad productiva y el bienestar de las comunidades de la Región Brunca, aun cuando persisten desafíos que requieren ajustes y profundización de las estrategias implementadas.</w:t>
      </w:r>
    </w:p>
    <w:p w14:paraId="0B4CE28B" w14:textId="77777777" w:rsidR="00F54DFF" w:rsidRDefault="00F54DFF" w:rsidP="007B50D4">
      <w:pPr>
        <w:pStyle w:val="Direccininterior"/>
        <w:spacing w:before="240" w:after="240" w:line="360" w:lineRule="auto"/>
        <w:rPr>
          <w:rFonts w:ascii="Tahoma" w:hAnsi="Tahoma" w:cs="Tahoma"/>
          <w:sz w:val="22"/>
          <w:szCs w:val="22"/>
        </w:rPr>
      </w:pPr>
    </w:p>
    <w:p w14:paraId="31439A51" w14:textId="77777777" w:rsidR="00F54DFF" w:rsidRPr="005936FA" w:rsidRDefault="00F54DFF" w:rsidP="007B50D4">
      <w:pPr>
        <w:pStyle w:val="Direccininterior"/>
        <w:spacing w:before="240" w:after="240" w:line="360" w:lineRule="auto"/>
        <w:rPr>
          <w:rFonts w:ascii="Tahoma" w:hAnsi="Tahoma" w:cs="Tahoma"/>
          <w:sz w:val="22"/>
          <w:szCs w:val="22"/>
        </w:rPr>
      </w:pPr>
    </w:p>
    <w:bookmarkEnd w:id="12"/>
    <w:p w14:paraId="34707423" w14:textId="77777777" w:rsidR="0073029B" w:rsidRPr="005936FA" w:rsidRDefault="0073029B" w:rsidP="00F32094">
      <w:pPr>
        <w:pStyle w:val="Direccininterior"/>
        <w:numPr>
          <w:ilvl w:val="0"/>
          <w:numId w:val="11"/>
        </w:numPr>
        <w:spacing w:before="240" w:after="240" w:line="360" w:lineRule="auto"/>
        <w:rPr>
          <w:rFonts w:ascii="Tahoma" w:hAnsi="Tahoma" w:cs="Tahoma"/>
          <w:b/>
          <w:color w:val="000000"/>
          <w:sz w:val="22"/>
          <w:szCs w:val="22"/>
        </w:rPr>
      </w:pPr>
      <w:r w:rsidRPr="005936FA">
        <w:rPr>
          <w:rFonts w:ascii="Tahoma" w:hAnsi="Tahoma" w:cs="Tahoma"/>
          <w:b/>
          <w:color w:val="000000"/>
          <w:sz w:val="22"/>
          <w:szCs w:val="22"/>
        </w:rPr>
        <w:lastRenderedPageBreak/>
        <w:t>Región Central:</w:t>
      </w:r>
    </w:p>
    <w:p w14:paraId="392BA4B8" w14:textId="70A33978" w:rsidR="002213DD" w:rsidRPr="005936FA" w:rsidRDefault="002213DD" w:rsidP="002213DD">
      <w:pPr>
        <w:pStyle w:val="Direccininterior"/>
        <w:spacing w:before="240" w:after="240" w:line="360" w:lineRule="auto"/>
        <w:rPr>
          <w:rFonts w:ascii="Tahoma" w:hAnsi="Tahoma" w:cs="Tahoma"/>
          <w:color w:val="000000"/>
          <w:sz w:val="22"/>
          <w:szCs w:val="22"/>
        </w:rPr>
      </w:pPr>
      <w:bookmarkStart w:id="13" w:name="_Hlk188611504"/>
      <w:bookmarkStart w:id="14" w:name="_Hlk188602052"/>
      <w:r w:rsidRPr="005936FA">
        <w:rPr>
          <w:rFonts w:ascii="Tahoma" w:hAnsi="Tahoma" w:cs="Tahoma"/>
          <w:color w:val="000000"/>
          <w:sz w:val="22"/>
          <w:szCs w:val="22"/>
        </w:rPr>
        <w:t>La Región Central presenta una disminución sostenida de la tasa de delitos durante el período 2023–2025, al pasar de 910,69 en 2023 a 785,55 en 2025, lo que representa una reducción acumulada del 13,74 %. La tendencia descendente se mantiene de forma continua, con una disminución del 8,55 % entre 2023 y 2024 y del 5,68 % entre 2024 y 2025, lo que permitió alcanzar una clasificación de cumplimiento alto del indicador.</w:t>
      </w:r>
    </w:p>
    <w:p w14:paraId="5A5B0241" w14:textId="05522387" w:rsidR="002213DD" w:rsidRPr="005936FA" w:rsidRDefault="002213DD" w:rsidP="002213DD">
      <w:pPr>
        <w:pStyle w:val="Direccininterior"/>
        <w:spacing w:before="240" w:after="240" w:line="360" w:lineRule="auto"/>
        <w:rPr>
          <w:rFonts w:ascii="Tahoma" w:hAnsi="Tahoma" w:cs="Tahoma"/>
          <w:color w:val="000000"/>
          <w:sz w:val="22"/>
          <w:szCs w:val="22"/>
        </w:rPr>
      </w:pPr>
      <w:r w:rsidRPr="005936FA">
        <w:rPr>
          <w:rFonts w:ascii="Tahoma" w:hAnsi="Tahoma" w:cs="Tahoma"/>
          <w:color w:val="000000"/>
          <w:sz w:val="22"/>
          <w:szCs w:val="22"/>
        </w:rPr>
        <w:t>Los delitos patrimoniales evidencian reducciones claras, particularmente en las tipologías de robo y hurto, lo cual ha contribuido de manera significativa a la disminución del indicador. No obstante, el delito de homicidio registra un incremento del 5,24 % entre 2024 y 2025, manteniéndose fuera del rango meta establecido para esta tipología, lo que constituye un desafío relevante para la región.</w:t>
      </w:r>
    </w:p>
    <w:p w14:paraId="70726887" w14:textId="77777777" w:rsidR="002213DD" w:rsidRPr="005936FA" w:rsidRDefault="002213DD" w:rsidP="002213DD">
      <w:pPr>
        <w:pStyle w:val="Direccininterior"/>
        <w:spacing w:before="240" w:after="240" w:line="360" w:lineRule="auto"/>
        <w:rPr>
          <w:rFonts w:ascii="Tahoma" w:hAnsi="Tahoma" w:cs="Tahoma"/>
          <w:color w:val="000000"/>
          <w:sz w:val="22"/>
          <w:szCs w:val="22"/>
        </w:rPr>
      </w:pPr>
      <w:r w:rsidRPr="005936FA">
        <w:rPr>
          <w:rFonts w:ascii="Tahoma" w:hAnsi="Tahoma" w:cs="Tahoma"/>
          <w:color w:val="000000"/>
          <w:sz w:val="22"/>
          <w:szCs w:val="22"/>
        </w:rPr>
        <w:t>Adicionalmente, la tacha de vehículos presenta un comportamiento creciente, al pasar de 68,83 en 2023 a 92,71 en 2025, lo que representa un incremento acumulado del 34,70 %. Si bien el valor de 2025 se mantiene dentro del rango meta, la tendencia al alza observada evidencia la necesidad de reforzar acciones preventivas, especialmente en zonas urbanas con alta concentración vehicular.</w:t>
      </w:r>
    </w:p>
    <w:p w14:paraId="7020F8FA" w14:textId="77777777" w:rsidR="002213DD" w:rsidRPr="005936FA" w:rsidRDefault="002213DD" w:rsidP="002213DD">
      <w:pPr>
        <w:pStyle w:val="Direccininterior"/>
        <w:spacing w:before="240" w:after="240" w:line="360" w:lineRule="auto"/>
        <w:rPr>
          <w:rFonts w:ascii="Tahoma" w:hAnsi="Tahoma" w:cs="Tahoma"/>
          <w:color w:val="000000"/>
          <w:sz w:val="22"/>
          <w:szCs w:val="22"/>
        </w:rPr>
      </w:pPr>
      <w:r w:rsidRPr="005936FA">
        <w:rPr>
          <w:rFonts w:ascii="Tahoma" w:hAnsi="Tahoma" w:cs="Tahoma"/>
          <w:color w:val="000000"/>
          <w:sz w:val="22"/>
          <w:szCs w:val="22"/>
        </w:rPr>
        <w:t>Entre las acciones que contribuyeron al cumplimiento de la meta en la Región Central destacan las operaciones sostenidas de seguridad ciudadana, mediante la ejecución de la Operación TOP-20-2025, Tolerancia Cero, Focalización San José y Carga Pesada, orientadas a la prevención y contención de los delitos contra la propiedad y la vida (DCLP/DCLV).</w:t>
      </w:r>
    </w:p>
    <w:p w14:paraId="3BFC8B6D" w14:textId="77777777" w:rsidR="002213DD" w:rsidRPr="005936FA" w:rsidRDefault="002213DD" w:rsidP="002213DD">
      <w:pPr>
        <w:pStyle w:val="Direccininterior"/>
        <w:spacing w:before="240" w:after="240" w:line="360" w:lineRule="auto"/>
        <w:rPr>
          <w:rFonts w:ascii="Tahoma" w:hAnsi="Tahoma" w:cs="Tahoma"/>
          <w:color w:val="000000"/>
          <w:sz w:val="22"/>
          <w:szCs w:val="22"/>
        </w:rPr>
      </w:pPr>
      <w:r w:rsidRPr="005936FA">
        <w:rPr>
          <w:rFonts w:ascii="Tahoma" w:hAnsi="Tahoma" w:cs="Tahoma"/>
          <w:color w:val="000000"/>
          <w:sz w:val="22"/>
          <w:szCs w:val="22"/>
        </w:rPr>
        <w:t xml:space="preserve">Asimismo, en el marco del Programa de Seguridad Ciudadana y Prevención de la Violencia, durante el período analizado se ejecutaron Experimentos Aleatorios Controlados (EAC) como parte de la estrategia de fortalecimiento del </w:t>
      </w:r>
      <w:proofErr w:type="spellStart"/>
      <w:r w:rsidRPr="005936FA">
        <w:rPr>
          <w:rFonts w:ascii="Tahoma" w:hAnsi="Tahoma" w:cs="Tahoma"/>
          <w:color w:val="000000"/>
          <w:sz w:val="22"/>
          <w:szCs w:val="22"/>
        </w:rPr>
        <w:t>policiamiento</w:t>
      </w:r>
      <w:proofErr w:type="spellEnd"/>
      <w:r w:rsidRPr="005936FA">
        <w:rPr>
          <w:rFonts w:ascii="Tahoma" w:hAnsi="Tahoma" w:cs="Tahoma"/>
          <w:color w:val="000000"/>
          <w:sz w:val="22"/>
          <w:szCs w:val="22"/>
        </w:rPr>
        <w:t xml:space="preserve"> basado en evidencia, lo que permitió robustecer las capacidades institucionales en análisis criminal, planificación operativa y monitoreo de la implementación. Estas intervenciones se desarrollaron de forma focalizada en los distritos de Hospital, Catedral, Merced y Carmen del cantón central de San José, mediante estrategias de intervención en puntos calientes delictivos (</w:t>
      </w:r>
      <w:proofErr w:type="spellStart"/>
      <w:r w:rsidRPr="005936FA">
        <w:rPr>
          <w:rFonts w:ascii="Tahoma" w:hAnsi="Tahoma" w:cs="Tahoma"/>
          <w:color w:val="000000"/>
          <w:sz w:val="22"/>
          <w:szCs w:val="22"/>
        </w:rPr>
        <w:t>hot</w:t>
      </w:r>
      <w:proofErr w:type="spellEnd"/>
      <w:r w:rsidRPr="005936FA">
        <w:rPr>
          <w:rFonts w:ascii="Tahoma" w:hAnsi="Tahoma" w:cs="Tahoma"/>
          <w:color w:val="000000"/>
          <w:sz w:val="22"/>
          <w:szCs w:val="22"/>
        </w:rPr>
        <w:t xml:space="preserve"> spots </w:t>
      </w:r>
      <w:proofErr w:type="spellStart"/>
      <w:r w:rsidRPr="005936FA">
        <w:rPr>
          <w:rFonts w:ascii="Tahoma" w:hAnsi="Tahoma" w:cs="Tahoma"/>
          <w:color w:val="000000"/>
          <w:sz w:val="22"/>
          <w:szCs w:val="22"/>
        </w:rPr>
        <w:t>policing</w:t>
      </w:r>
      <w:proofErr w:type="spellEnd"/>
      <w:r w:rsidRPr="005936FA">
        <w:rPr>
          <w:rFonts w:ascii="Tahoma" w:hAnsi="Tahoma" w:cs="Tahoma"/>
          <w:color w:val="000000"/>
          <w:sz w:val="22"/>
          <w:szCs w:val="22"/>
        </w:rPr>
        <w:t>).</w:t>
      </w:r>
    </w:p>
    <w:p w14:paraId="627DB122" w14:textId="77777777" w:rsidR="002213DD" w:rsidRPr="005936FA" w:rsidRDefault="002213DD" w:rsidP="002213DD">
      <w:pPr>
        <w:pStyle w:val="Direccininterior"/>
        <w:spacing w:before="240" w:after="240" w:line="360" w:lineRule="auto"/>
        <w:rPr>
          <w:rFonts w:ascii="Tahoma" w:hAnsi="Tahoma" w:cs="Tahoma"/>
          <w:color w:val="000000"/>
          <w:sz w:val="22"/>
          <w:szCs w:val="22"/>
          <w:highlight w:val="yellow"/>
        </w:rPr>
      </w:pPr>
      <w:r w:rsidRPr="005936FA">
        <w:rPr>
          <w:rFonts w:ascii="Tahoma" w:hAnsi="Tahoma" w:cs="Tahoma"/>
          <w:color w:val="000000"/>
          <w:sz w:val="22"/>
          <w:szCs w:val="22"/>
        </w:rPr>
        <w:t xml:space="preserve">En términos generales, el cumplimiento del indicador refleja logros concretos en la contención y reducción de la actividad delictiva en la Región Central, generando beneficios directos para la población </w:t>
      </w:r>
      <w:r w:rsidRPr="005936FA">
        <w:rPr>
          <w:rFonts w:ascii="Tahoma" w:hAnsi="Tahoma" w:cs="Tahoma"/>
          <w:color w:val="000000"/>
          <w:sz w:val="22"/>
          <w:szCs w:val="22"/>
        </w:rPr>
        <w:lastRenderedPageBreak/>
        <w:t>mediante la disminución del riesgo delictivo, el fortalecimiento de la convivencia pacífica y la consolidación de condiciones más favorables para la paz social y el desarrollo integral de la región.</w:t>
      </w:r>
    </w:p>
    <w:bookmarkEnd w:id="13"/>
    <w:bookmarkEnd w:id="14"/>
    <w:p w14:paraId="652971D6" w14:textId="77777777" w:rsidR="0073029B" w:rsidRPr="005936FA" w:rsidRDefault="0073029B" w:rsidP="00F32094">
      <w:pPr>
        <w:pStyle w:val="Prrafodelista"/>
        <w:numPr>
          <w:ilvl w:val="0"/>
          <w:numId w:val="11"/>
        </w:numPr>
        <w:spacing w:before="240" w:after="240" w:line="360" w:lineRule="auto"/>
        <w:jc w:val="both"/>
        <w:rPr>
          <w:rFonts w:eastAsia="Times New Roman" w:cs="Tahoma"/>
          <w:b/>
          <w:color w:val="000000"/>
          <w:spacing w:val="-5"/>
          <w:sz w:val="22"/>
        </w:rPr>
      </w:pPr>
      <w:r w:rsidRPr="005936FA">
        <w:rPr>
          <w:rFonts w:eastAsia="Times New Roman" w:cs="Tahoma"/>
          <w:b/>
          <w:color w:val="000000"/>
          <w:spacing w:val="-5"/>
          <w:sz w:val="22"/>
        </w:rPr>
        <w:t>Región Chorotega:</w:t>
      </w:r>
    </w:p>
    <w:p w14:paraId="67C073B5" w14:textId="40E0A927" w:rsidR="003701B6" w:rsidRPr="005936FA" w:rsidRDefault="003701B6" w:rsidP="003701B6">
      <w:pPr>
        <w:pStyle w:val="Direccininterior"/>
        <w:spacing w:before="240" w:after="240" w:line="360" w:lineRule="auto"/>
        <w:rPr>
          <w:rFonts w:ascii="Tahoma" w:hAnsi="Tahoma" w:cs="Tahoma"/>
          <w:color w:val="000000"/>
          <w:sz w:val="22"/>
          <w:szCs w:val="22"/>
        </w:rPr>
      </w:pPr>
      <w:r w:rsidRPr="005936FA">
        <w:rPr>
          <w:rFonts w:ascii="Tahoma" w:hAnsi="Tahoma" w:cs="Tahoma"/>
          <w:color w:val="000000"/>
          <w:sz w:val="22"/>
          <w:szCs w:val="22"/>
        </w:rPr>
        <w:t>La Región Chorotega presenta una reducción sostenida del indicador durante el período 2023–2025, al pasar de 1.056,44 en 2023 a 944,55 en 2024 y a 884,07 en 2025, lo que representa una disminución acumulada del 16,32 %. El resultado obtenido en 2025 se mantiene dentro del rango establecido para la meta anual, lo que permitió alcanzar una clasificación de cumplimiento alto.</w:t>
      </w:r>
    </w:p>
    <w:p w14:paraId="5D23D45F" w14:textId="3B29A897" w:rsidR="003701B6" w:rsidRPr="005936FA" w:rsidRDefault="003701B6" w:rsidP="003701B6">
      <w:pPr>
        <w:pStyle w:val="Direccininterior"/>
        <w:spacing w:before="240" w:after="240" w:line="360" w:lineRule="auto"/>
        <w:rPr>
          <w:rFonts w:ascii="Tahoma" w:hAnsi="Tahoma" w:cs="Tahoma"/>
          <w:color w:val="000000"/>
          <w:sz w:val="22"/>
          <w:szCs w:val="22"/>
        </w:rPr>
      </w:pPr>
      <w:r w:rsidRPr="005936FA">
        <w:rPr>
          <w:rFonts w:ascii="Tahoma" w:hAnsi="Tahoma" w:cs="Tahoma"/>
          <w:color w:val="000000"/>
          <w:sz w:val="22"/>
          <w:szCs w:val="22"/>
        </w:rPr>
        <w:t>Por tipología delictiva, los delitos de asalto, hurto y robo muestran mejoras sostenidas a lo largo del período analizado, contribuyendo de manera significativa a la reducción del indicador. En contraste, el delito de homicidio registra una disminución marginal, al pasar de 20,24 en 2023 a 18,37 en 2025, equivalente a una reducción acumulada del 9,26 %; sin embargo, el valor registrado en 2025 se mantiene fuera del rango meta, lo que limita el cumplimiento de esta tipología.</w:t>
      </w:r>
    </w:p>
    <w:p w14:paraId="429736C0" w14:textId="77777777" w:rsidR="003701B6" w:rsidRPr="005936FA" w:rsidRDefault="003701B6" w:rsidP="003701B6">
      <w:pPr>
        <w:pStyle w:val="Direccininterior"/>
        <w:spacing w:before="240" w:after="240" w:line="360" w:lineRule="auto"/>
        <w:rPr>
          <w:rFonts w:ascii="Tahoma" w:hAnsi="Tahoma" w:cs="Tahoma"/>
          <w:color w:val="000000"/>
          <w:sz w:val="22"/>
          <w:szCs w:val="22"/>
        </w:rPr>
      </w:pPr>
      <w:r w:rsidRPr="005936FA">
        <w:rPr>
          <w:rFonts w:ascii="Tahoma" w:hAnsi="Tahoma" w:cs="Tahoma"/>
          <w:color w:val="000000"/>
          <w:sz w:val="22"/>
          <w:szCs w:val="22"/>
        </w:rPr>
        <w:t>En cuanto al robo de vehículo, el delito presenta una reducción global del 2,99 % entre 2023 y 2025, al pasar de 92,43 a 89,66. No obstante, se observa un incremento del 20,10 % entre 2024 y 2025, lo que evidencia un repunte reciente de este delito y conlleva a un nivel de cumplimiento bajo en esta tipología específica.</w:t>
      </w:r>
    </w:p>
    <w:p w14:paraId="3E1C2F5A" w14:textId="77777777" w:rsidR="003701B6" w:rsidRPr="005936FA" w:rsidRDefault="003701B6" w:rsidP="003701B6">
      <w:pPr>
        <w:pStyle w:val="Direccininterior"/>
        <w:spacing w:before="240" w:after="240" w:line="360" w:lineRule="auto"/>
        <w:rPr>
          <w:rFonts w:ascii="Tahoma" w:hAnsi="Tahoma" w:cs="Tahoma"/>
          <w:color w:val="000000"/>
          <w:sz w:val="22"/>
          <w:szCs w:val="22"/>
        </w:rPr>
      </w:pPr>
      <w:r w:rsidRPr="005936FA">
        <w:rPr>
          <w:rFonts w:ascii="Tahoma" w:hAnsi="Tahoma" w:cs="Tahoma"/>
          <w:color w:val="000000"/>
          <w:sz w:val="22"/>
          <w:szCs w:val="22"/>
        </w:rPr>
        <w:t>Entre las acciones que contribuyeron al cumplimiento de la meta en la Región Chorotega destacan las operaciones policiales focalizadas para la prevención y contención de los delitos contra la propiedad y la vida (DCLP/DCLV), mediante la ejecución de la Operación TOP-20-2025 y la Operación Tolerancia Cero.</w:t>
      </w:r>
    </w:p>
    <w:p w14:paraId="5A517419" w14:textId="77777777" w:rsidR="003701B6" w:rsidRDefault="003701B6" w:rsidP="003701B6">
      <w:pPr>
        <w:pStyle w:val="Direccininterior"/>
        <w:spacing w:before="240" w:after="240" w:line="360" w:lineRule="auto"/>
        <w:rPr>
          <w:rFonts w:ascii="Tahoma" w:hAnsi="Tahoma" w:cs="Tahoma"/>
          <w:color w:val="000000"/>
          <w:sz w:val="22"/>
          <w:szCs w:val="22"/>
        </w:rPr>
      </w:pPr>
      <w:r w:rsidRPr="005936FA">
        <w:rPr>
          <w:rFonts w:ascii="Tahoma" w:hAnsi="Tahoma" w:cs="Tahoma"/>
          <w:color w:val="000000"/>
          <w:sz w:val="22"/>
          <w:szCs w:val="22"/>
        </w:rPr>
        <w:t>En términos generales, los resultados evidencian logros relevantes en la contención y reducción de la actividad delictiva en la Región Chorotega, generando beneficios directos para la población a través de la disminución del riesgo delictivo y el fortalecimiento de la convivencia pacífica, la paz social y las condiciones para el desarrollo integral de la región, sin perjuicio de los desafíos persistentes que requieren intervenciones focalizadas y ajustes estratégicos.</w:t>
      </w:r>
    </w:p>
    <w:p w14:paraId="1195AC36" w14:textId="77777777" w:rsidR="00F54DFF" w:rsidRPr="005936FA" w:rsidRDefault="00F54DFF" w:rsidP="003701B6">
      <w:pPr>
        <w:pStyle w:val="Direccininterior"/>
        <w:spacing w:before="240" w:after="240" w:line="360" w:lineRule="auto"/>
        <w:rPr>
          <w:rFonts w:ascii="Tahoma" w:hAnsi="Tahoma" w:cs="Tahoma"/>
          <w:color w:val="000000"/>
          <w:sz w:val="22"/>
          <w:szCs w:val="22"/>
        </w:rPr>
      </w:pPr>
    </w:p>
    <w:p w14:paraId="4FD7645C" w14:textId="77777777" w:rsidR="0073029B" w:rsidRPr="005936FA" w:rsidRDefault="0073029B" w:rsidP="00F32094">
      <w:pPr>
        <w:pStyle w:val="Direccininterior"/>
        <w:numPr>
          <w:ilvl w:val="0"/>
          <w:numId w:val="11"/>
        </w:numPr>
        <w:spacing w:before="240" w:after="240" w:line="360" w:lineRule="auto"/>
        <w:rPr>
          <w:rFonts w:ascii="Tahoma" w:hAnsi="Tahoma" w:cs="Tahoma"/>
          <w:b/>
          <w:color w:val="000000"/>
          <w:sz w:val="22"/>
          <w:szCs w:val="22"/>
        </w:rPr>
      </w:pPr>
      <w:r w:rsidRPr="005936FA">
        <w:rPr>
          <w:rFonts w:ascii="Tahoma" w:hAnsi="Tahoma" w:cs="Tahoma"/>
          <w:b/>
          <w:color w:val="000000"/>
          <w:sz w:val="22"/>
          <w:szCs w:val="22"/>
        </w:rPr>
        <w:lastRenderedPageBreak/>
        <w:t>Región Huetar Caribe:</w:t>
      </w:r>
    </w:p>
    <w:p w14:paraId="01808C64" w14:textId="1D3D0D24" w:rsidR="00FC2D7C" w:rsidRPr="005936FA" w:rsidRDefault="00FC2D7C" w:rsidP="00FC2D7C">
      <w:pPr>
        <w:pStyle w:val="NormalWeb"/>
        <w:spacing w:line="360" w:lineRule="auto"/>
        <w:jc w:val="both"/>
        <w:rPr>
          <w:rFonts w:ascii="Tahoma" w:hAnsi="Tahoma" w:cs="Tahoma"/>
          <w:sz w:val="22"/>
          <w:szCs w:val="22"/>
        </w:rPr>
      </w:pPr>
      <w:r w:rsidRPr="005936FA">
        <w:rPr>
          <w:rFonts w:ascii="Tahoma" w:hAnsi="Tahoma" w:cs="Tahoma"/>
          <w:sz w:val="22"/>
          <w:szCs w:val="22"/>
        </w:rPr>
        <w:t>La Región Huetar Caribe presenta una reducción significativa de la tasa de delitos durante el período 2023–2025, al pasar de 984,56 en 2023 a 776,68 en 2024, manteniéndose prácticamente estable en 2025 con un valor de 776,00. En términos acumulados, la disminución entre 2023 y 2025 alcanza el 21,18 %, lo que permitió obtener una clasificación de cumplimiento alto del indicador.</w:t>
      </w:r>
    </w:p>
    <w:p w14:paraId="18F435B8" w14:textId="77777777" w:rsidR="00FC2D7C" w:rsidRPr="005936FA" w:rsidRDefault="00FC2D7C" w:rsidP="00FC2D7C">
      <w:pPr>
        <w:pStyle w:val="NormalWeb"/>
        <w:spacing w:line="360" w:lineRule="auto"/>
        <w:jc w:val="both"/>
        <w:rPr>
          <w:rFonts w:ascii="Tahoma" w:hAnsi="Tahoma" w:cs="Tahoma"/>
          <w:sz w:val="22"/>
          <w:szCs w:val="22"/>
        </w:rPr>
      </w:pPr>
      <w:r w:rsidRPr="005936FA">
        <w:rPr>
          <w:rFonts w:ascii="Tahoma" w:hAnsi="Tahoma" w:cs="Tahoma"/>
          <w:sz w:val="22"/>
          <w:szCs w:val="22"/>
        </w:rPr>
        <w:t>Este resultado se explica, principalmente, por los avances sostenidos en la contención de los delitos patrimoniales, los cuales han contribuido de manera directa a la reducción del riesgo delictivo y a la mejora de las condiciones de seguridad ciudadana en la región. No obstante, el delito de homicidio presenta un comportamiento crítico, al incrementarse de 20,02 en 2023 a 37,57 en 2024, equivalente a un aumento del 87,6 %, y mantenerse en niveles elevados en 2025 (37,08). Este comportamiento ubica al homicidio fuera del rango meta, constituyéndose en el principal factor que limita el desempeño integral del indicador en la Región Huetar Caribe.</w:t>
      </w:r>
    </w:p>
    <w:p w14:paraId="6389A91A" w14:textId="77777777" w:rsidR="00FC2D7C" w:rsidRPr="005936FA" w:rsidRDefault="00FC2D7C" w:rsidP="00FC2D7C">
      <w:pPr>
        <w:pStyle w:val="NormalWeb"/>
        <w:spacing w:line="360" w:lineRule="auto"/>
        <w:jc w:val="both"/>
        <w:rPr>
          <w:rFonts w:ascii="Tahoma" w:hAnsi="Tahoma" w:cs="Tahoma"/>
          <w:sz w:val="22"/>
          <w:szCs w:val="22"/>
        </w:rPr>
      </w:pPr>
      <w:r w:rsidRPr="005936FA">
        <w:rPr>
          <w:rFonts w:ascii="Tahoma" w:hAnsi="Tahoma" w:cs="Tahoma"/>
          <w:sz w:val="22"/>
          <w:szCs w:val="22"/>
        </w:rPr>
        <w:t>Entre las acciones que impulsaron el cumplimiento de la meta regional destacan las operaciones policiales articuladas orientadas a la prevención y contención de los delitos contra la propiedad y la vida (DCLP/DCLV), mediante la ejecución de la Operación TOP-20-2025, la Operación Tolerancia Cero y la Operación Carga Pesada, las cuales fortalecieron la presencia policial, la capacidad de respuesta y el control territorial en zonas prioritarias.</w:t>
      </w:r>
    </w:p>
    <w:p w14:paraId="4FDCEE1A" w14:textId="77777777" w:rsidR="00FC2D7C" w:rsidRPr="005936FA" w:rsidRDefault="00FC2D7C" w:rsidP="00FC2D7C">
      <w:pPr>
        <w:pStyle w:val="NormalWeb"/>
        <w:spacing w:line="360" w:lineRule="auto"/>
        <w:jc w:val="both"/>
        <w:rPr>
          <w:rFonts w:ascii="Tahoma" w:hAnsi="Tahoma" w:cs="Tahoma"/>
          <w:sz w:val="22"/>
          <w:szCs w:val="22"/>
        </w:rPr>
      </w:pPr>
      <w:r w:rsidRPr="005936FA">
        <w:rPr>
          <w:rFonts w:ascii="Tahoma" w:hAnsi="Tahoma" w:cs="Tahoma"/>
          <w:sz w:val="22"/>
          <w:szCs w:val="22"/>
        </w:rPr>
        <w:t>Asimismo, en el marco del Programa de Seguridad Ciudadana y Prevención de la Violencia, durante el año 2025 se logró el diseño, construcción, equipamiento y puesta en funcionamiento del Centro Cívico por la Paz de Limón, generando un beneficio directo para la población juvenil al contar con un espacio seguro para la prevención de la violencia y la promoción del desarrollo integral. De igual forma, la inauguración de la Delegación Policial de Guácimo fortaleció el modelo de policía comunitaria y la infraestructura de seguridad, mejorando las condiciones de trabajo del personal policial y la calidad del servicio brindado a la comunidad.</w:t>
      </w:r>
    </w:p>
    <w:p w14:paraId="5644BE24" w14:textId="4CE817E2" w:rsidR="00FC2D7C" w:rsidRPr="005936FA" w:rsidRDefault="00FC2D7C" w:rsidP="00FC2D7C">
      <w:pPr>
        <w:pStyle w:val="NormalWeb"/>
        <w:spacing w:line="360" w:lineRule="auto"/>
        <w:jc w:val="both"/>
        <w:rPr>
          <w:rFonts w:ascii="Tahoma" w:hAnsi="Tahoma" w:cs="Tahoma"/>
          <w:sz w:val="22"/>
          <w:szCs w:val="22"/>
          <w:highlight w:val="yellow"/>
        </w:rPr>
      </w:pPr>
      <w:r w:rsidRPr="005936FA">
        <w:rPr>
          <w:rFonts w:ascii="Tahoma" w:hAnsi="Tahoma" w:cs="Tahoma"/>
          <w:sz w:val="22"/>
          <w:szCs w:val="22"/>
        </w:rPr>
        <w:t xml:space="preserve">En conjunto, el cumplimiento general de las metas evidencia logros relevantes en la reducción y contención de la criminalidad en la Región Huetar Caribe, generando valor público a través de </w:t>
      </w:r>
      <w:r w:rsidRPr="005936FA">
        <w:rPr>
          <w:rFonts w:ascii="Tahoma" w:hAnsi="Tahoma" w:cs="Tahoma"/>
          <w:sz w:val="22"/>
          <w:szCs w:val="22"/>
        </w:rPr>
        <w:lastRenderedPageBreak/>
        <w:t>una mayor seguridad y bienestar para la población. Sin embargo, el incremento sostenido de los homicidios constituye el principal desafío regional, lo que demanda la priorización de estrategias diferenciadas y focalizadas para la reducción de la violencia letal, a fin de consolidar los avances alcanzados y ampliar su impacto en la convivencia pacífica, la paz social y el desarrollo integral de la región.</w:t>
      </w:r>
    </w:p>
    <w:p w14:paraId="1C79155E" w14:textId="77777777" w:rsidR="0073029B" w:rsidRPr="005936FA" w:rsidRDefault="0073029B" w:rsidP="00F32094">
      <w:pPr>
        <w:pStyle w:val="Direccininterior"/>
        <w:numPr>
          <w:ilvl w:val="0"/>
          <w:numId w:val="11"/>
        </w:numPr>
        <w:spacing w:before="240" w:after="240" w:line="360" w:lineRule="auto"/>
        <w:rPr>
          <w:rFonts w:ascii="Tahoma" w:hAnsi="Tahoma" w:cs="Tahoma"/>
          <w:b/>
          <w:color w:val="000000"/>
          <w:sz w:val="22"/>
          <w:szCs w:val="22"/>
        </w:rPr>
      </w:pPr>
      <w:r w:rsidRPr="005936FA">
        <w:rPr>
          <w:rFonts w:ascii="Tahoma" w:hAnsi="Tahoma" w:cs="Tahoma"/>
          <w:b/>
          <w:color w:val="000000"/>
          <w:sz w:val="22"/>
          <w:szCs w:val="22"/>
        </w:rPr>
        <w:t>Región Huetar Norte:</w:t>
      </w:r>
    </w:p>
    <w:p w14:paraId="7A3499E4" w14:textId="77777777" w:rsidR="00391B38" w:rsidRPr="005936FA" w:rsidRDefault="00391B38" w:rsidP="00391B38">
      <w:pPr>
        <w:spacing w:line="360" w:lineRule="auto"/>
        <w:jc w:val="both"/>
        <w:rPr>
          <w:rFonts w:cs="Tahoma"/>
          <w:color w:val="000000"/>
          <w:spacing w:val="-5"/>
          <w:sz w:val="22"/>
        </w:rPr>
      </w:pPr>
      <w:r w:rsidRPr="005936FA">
        <w:rPr>
          <w:rFonts w:cs="Tahoma"/>
          <w:color w:val="000000"/>
          <w:spacing w:val="-5"/>
          <w:sz w:val="22"/>
        </w:rPr>
        <w:t>La Región Huetar Norte presenta un desempeño favorable y sostenido durante el período 2023–2025. La tasa total de delitos disminuyó de 642,90 en 2023 a 564,34 en 2024, lo que representa una reducción del 12,22 %, y se redujo de forma más pronunciada en 2025 hasta alcanzar un valor de 475,39, equivalente a una disminución adicional del 15,78 % respecto a 2024. En términos acumulados, la región registra una reducción del 26,05 % entre 2023 y 2025, lo que permitió alcanzar una clasificación de cumplimiento alto del indicador.</w:t>
      </w:r>
    </w:p>
    <w:p w14:paraId="4F00A8E1" w14:textId="77777777" w:rsidR="00391B38" w:rsidRPr="005936FA" w:rsidRDefault="00391B38" w:rsidP="00391B38">
      <w:pPr>
        <w:spacing w:line="360" w:lineRule="auto"/>
        <w:jc w:val="both"/>
        <w:rPr>
          <w:rFonts w:cs="Tahoma"/>
          <w:color w:val="000000"/>
          <w:spacing w:val="-5"/>
          <w:sz w:val="22"/>
        </w:rPr>
      </w:pPr>
      <w:r w:rsidRPr="005936FA">
        <w:rPr>
          <w:rFonts w:cs="Tahoma"/>
          <w:color w:val="000000"/>
          <w:spacing w:val="-5"/>
          <w:sz w:val="22"/>
        </w:rPr>
        <w:t>A diferencia de otras regiones, la Región Huetar Norte alcanza cumplimiento alto en todas las tipologías delictivas, incluido el homicidio, el cual presenta una reducción acumulada del 39,47 % entre 2023 y 2025. De igual forma, los delitos patrimoniales muestran disminuciones relevantes y sostenidas, contribuyendo de manera directa a la reducción global de la tasa de delitos y reflejando una mayor estabilidad y efectividad de las estrategias de seguridad ciudadana implementadas en la región.</w:t>
      </w:r>
    </w:p>
    <w:p w14:paraId="675B8CB0" w14:textId="77777777" w:rsidR="00391B38" w:rsidRPr="005936FA" w:rsidRDefault="00391B38" w:rsidP="00391B38">
      <w:pPr>
        <w:spacing w:line="360" w:lineRule="auto"/>
        <w:jc w:val="both"/>
        <w:rPr>
          <w:rFonts w:cs="Tahoma"/>
          <w:color w:val="000000"/>
          <w:spacing w:val="-5"/>
          <w:sz w:val="22"/>
        </w:rPr>
      </w:pPr>
      <w:r w:rsidRPr="005936FA">
        <w:rPr>
          <w:rFonts w:cs="Tahoma"/>
          <w:color w:val="000000"/>
          <w:spacing w:val="-5"/>
          <w:sz w:val="22"/>
        </w:rPr>
        <w:t>Entre las acciones que contribuyeron al cumplimiento de la meta regional destacan las operaciones policiales articuladas orientadas a la prevención y contención de los delitos contra la propiedad y la vida (DCLP/DCLV), mediante la ejecución de la Operación Tolerancia Cero y la Operación Carga Pesada, las cuales fortalecieron el control territorial, la presencia policial y la capacidad de respuesta institucional.</w:t>
      </w:r>
    </w:p>
    <w:p w14:paraId="2323E4ED" w14:textId="77777777" w:rsidR="00450A23" w:rsidRPr="005936FA" w:rsidRDefault="00EB5457" w:rsidP="00391B38">
      <w:pPr>
        <w:spacing w:line="360" w:lineRule="auto"/>
        <w:jc w:val="both"/>
        <w:rPr>
          <w:rFonts w:cs="Tahoma"/>
          <w:color w:val="000000"/>
          <w:spacing w:val="-5"/>
          <w:sz w:val="22"/>
        </w:rPr>
      </w:pPr>
      <w:r w:rsidRPr="005936FA">
        <w:rPr>
          <w:rFonts w:cs="Tahoma"/>
          <w:color w:val="000000"/>
          <w:spacing w:val="-5"/>
          <w:sz w:val="22"/>
        </w:rPr>
        <w:t xml:space="preserve">En conjunto, el cumplimiento de la meta evidencia logros concretos y sostenibles en la Región Huetar Norte, reflejados en una reducción significativa y generalizada del riesgo delictivo, incluida la violencia letal, y en el cumplimiento alto en todas las tipologías delictivas, situación que no se presenta en otras regiones del país. Estos resultados generaron beneficios directos para la población, al mejorar las condiciones de seguridad para la movilidad, la actividad productiva y la convivencia comunitaria, así como al fortalecer la percepción de seguridad y la confianza ciudadana en la acción institucional. </w:t>
      </w:r>
      <w:r w:rsidR="00450A23" w:rsidRPr="005936FA">
        <w:rPr>
          <w:rFonts w:cs="Tahoma"/>
          <w:color w:val="000000"/>
          <w:spacing w:val="-5"/>
          <w:sz w:val="22"/>
        </w:rPr>
        <w:t>E</w:t>
      </w:r>
      <w:r w:rsidRPr="005936FA">
        <w:rPr>
          <w:rFonts w:cs="Tahoma"/>
          <w:color w:val="000000"/>
          <w:spacing w:val="-5"/>
          <w:sz w:val="22"/>
        </w:rPr>
        <w:t xml:space="preserve">stos </w:t>
      </w:r>
      <w:r w:rsidRPr="005936FA">
        <w:rPr>
          <w:rFonts w:cs="Tahoma"/>
          <w:color w:val="000000"/>
          <w:spacing w:val="-5"/>
          <w:sz w:val="22"/>
        </w:rPr>
        <w:lastRenderedPageBreak/>
        <w:t>logros contribuyen al fortalecimiento de la paz social, el Estado de Derecho y el desarrollo integral de la Región Huetar Norte</w:t>
      </w:r>
      <w:r w:rsidR="00450A23" w:rsidRPr="005936FA">
        <w:rPr>
          <w:rFonts w:cs="Tahoma"/>
          <w:color w:val="000000"/>
          <w:spacing w:val="-5"/>
          <w:sz w:val="22"/>
        </w:rPr>
        <w:t>.</w:t>
      </w:r>
    </w:p>
    <w:p w14:paraId="27186A10" w14:textId="1AB62CCD" w:rsidR="0073029B" w:rsidRPr="005936FA" w:rsidRDefault="00391B38" w:rsidP="00130AFA">
      <w:pPr>
        <w:pStyle w:val="Direccininterior"/>
        <w:numPr>
          <w:ilvl w:val="0"/>
          <w:numId w:val="11"/>
        </w:numPr>
        <w:spacing w:before="240" w:after="240" w:line="360" w:lineRule="auto"/>
        <w:rPr>
          <w:rFonts w:ascii="Tahoma" w:hAnsi="Tahoma" w:cs="Tahoma"/>
          <w:b/>
          <w:color w:val="000000"/>
          <w:sz w:val="22"/>
          <w:szCs w:val="22"/>
        </w:rPr>
      </w:pPr>
      <w:r w:rsidRPr="005936FA">
        <w:rPr>
          <w:rFonts w:ascii="Tahoma" w:hAnsi="Tahoma" w:cs="Tahoma"/>
          <w:b/>
          <w:color w:val="000000"/>
          <w:sz w:val="22"/>
          <w:szCs w:val="22"/>
        </w:rPr>
        <w:t xml:space="preserve"> </w:t>
      </w:r>
      <w:r w:rsidR="0073029B" w:rsidRPr="005936FA">
        <w:rPr>
          <w:rFonts w:ascii="Tahoma" w:hAnsi="Tahoma" w:cs="Tahoma"/>
          <w:b/>
          <w:color w:val="000000"/>
          <w:sz w:val="22"/>
          <w:szCs w:val="22"/>
        </w:rPr>
        <w:t>Región Pacífico Central:</w:t>
      </w:r>
    </w:p>
    <w:p w14:paraId="1D544BFC" w14:textId="77777777" w:rsidR="00130AFA" w:rsidRPr="005936FA" w:rsidRDefault="00130AFA" w:rsidP="00130AFA">
      <w:pPr>
        <w:pStyle w:val="Direccininterior"/>
        <w:spacing w:before="240" w:after="240" w:line="360" w:lineRule="auto"/>
        <w:rPr>
          <w:rFonts w:ascii="Tahoma" w:hAnsi="Tahoma" w:cs="Tahoma"/>
          <w:sz w:val="22"/>
          <w:szCs w:val="22"/>
        </w:rPr>
      </w:pPr>
      <w:r w:rsidRPr="005936FA">
        <w:rPr>
          <w:rFonts w:ascii="Tahoma" w:hAnsi="Tahoma" w:cs="Tahoma"/>
          <w:sz w:val="22"/>
          <w:szCs w:val="22"/>
        </w:rPr>
        <w:t>La Región Pacífico Central presenta una tendencia decreciente sostenida de la tasa de delitos por cada 100.000 habitantes en el período 2023–2025, al pasar de 1.416,77 en 2023 a 1.214,70 en 2024, lo que representa una reducción del 14,26 %, y disminuir adicionalmente a 1.172,78 en 2025 (3,45 % respecto a 2024). En términos acumulados, la región registra una disminución del 17,22 %, lo que permitió alcanzar una clasificación de cumplimiento alto del indicador, evidenciando avances concretos en la contención de la criminalidad total.</w:t>
      </w:r>
    </w:p>
    <w:p w14:paraId="3361016B" w14:textId="4C8C3DE8" w:rsidR="00130AFA" w:rsidRPr="005936FA" w:rsidRDefault="00130AFA" w:rsidP="00130AFA">
      <w:pPr>
        <w:pStyle w:val="Direccininterior"/>
        <w:spacing w:before="240" w:after="240" w:line="360" w:lineRule="auto"/>
        <w:rPr>
          <w:rFonts w:ascii="Tahoma" w:hAnsi="Tahoma" w:cs="Tahoma"/>
          <w:sz w:val="22"/>
          <w:szCs w:val="22"/>
        </w:rPr>
      </w:pPr>
      <w:r w:rsidRPr="005936FA">
        <w:rPr>
          <w:rFonts w:ascii="Tahoma" w:hAnsi="Tahoma" w:cs="Tahoma"/>
          <w:sz w:val="22"/>
          <w:szCs w:val="22"/>
        </w:rPr>
        <w:t>Este resultado constituye un logro relevante para la población, al reflejar una reducción del riesgo delictivo asociado principalmente a los delitos contra la propiedad, así como una mejora en las condiciones de seguridad para la movilidad, la actividad económica y la convivencia comunitaria. Si bien persisten desafíos importantes en materia de homicidio y robo de vehículos</w:t>
      </w:r>
      <w:r w:rsidR="00B56E1B" w:rsidRPr="005936FA">
        <w:rPr>
          <w:rFonts w:ascii="Tahoma" w:hAnsi="Tahoma" w:cs="Tahoma"/>
          <w:sz w:val="22"/>
          <w:szCs w:val="22"/>
        </w:rPr>
        <w:t xml:space="preserve">; </w:t>
      </w:r>
      <w:r w:rsidRPr="005936FA">
        <w:rPr>
          <w:rFonts w:ascii="Tahoma" w:hAnsi="Tahoma" w:cs="Tahoma"/>
          <w:sz w:val="22"/>
          <w:szCs w:val="22"/>
        </w:rPr>
        <w:t xml:space="preserve">tipologías que registran incrementos acumulados del 22,49 % y 16,78 %, respectivamente, y que se mantienen fuera del rango </w:t>
      </w:r>
      <w:r w:rsidR="00F54DFF" w:rsidRPr="005936FA">
        <w:rPr>
          <w:rFonts w:ascii="Tahoma" w:hAnsi="Tahoma" w:cs="Tahoma"/>
          <w:sz w:val="22"/>
          <w:szCs w:val="22"/>
        </w:rPr>
        <w:t>meta; estos</w:t>
      </w:r>
      <w:r w:rsidRPr="005936FA">
        <w:rPr>
          <w:rFonts w:ascii="Tahoma" w:hAnsi="Tahoma" w:cs="Tahoma"/>
          <w:sz w:val="22"/>
          <w:szCs w:val="22"/>
        </w:rPr>
        <w:t xml:space="preserve"> comportamientos no han revertido la tendencia general a la baja del indicador, lo que evidencia la capacidad institucional para contener el crecimiento global de la criminalidad en un contexto territorial complejo.</w:t>
      </w:r>
    </w:p>
    <w:p w14:paraId="722FF9C0" w14:textId="77777777" w:rsidR="00130AFA" w:rsidRPr="005936FA" w:rsidRDefault="00130AFA" w:rsidP="00130AFA">
      <w:pPr>
        <w:pStyle w:val="Direccininterior"/>
        <w:spacing w:before="240" w:after="240" w:line="360" w:lineRule="auto"/>
        <w:rPr>
          <w:rFonts w:ascii="Tahoma" w:hAnsi="Tahoma" w:cs="Tahoma"/>
          <w:sz w:val="22"/>
          <w:szCs w:val="22"/>
        </w:rPr>
      </w:pPr>
      <w:r w:rsidRPr="005936FA">
        <w:rPr>
          <w:rFonts w:ascii="Tahoma" w:hAnsi="Tahoma" w:cs="Tahoma"/>
          <w:sz w:val="22"/>
          <w:szCs w:val="22"/>
        </w:rPr>
        <w:t>Entre las principales acciones que contribuyeron al cumplimiento de la meta en la Región Pacífico Central destacan las operaciones policiales focalizadas y sostenidas orientadas a la prevención y contención de los delitos contra la propiedad y la vida (DCLP/DCLV), mediante la ejecución de la Operación Focalización Pacífico Central, TOP-20-2025 y Tolerancia Cero, las cuales fortalecieron la presencia policial, la disuasión del delito y la capacidad de respuesta operativa en los territorios priorizados.</w:t>
      </w:r>
    </w:p>
    <w:p w14:paraId="06D92BDB" w14:textId="77777777" w:rsidR="00130AFA" w:rsidRPr="005936FA" w:rsidRDefault="00130AFA" w:rsidP="00130AFA">
      <w:pPr>
        <w:pStyle w:val="Direccininterior"/>
        <w:spacing w:before="240" w:after="240" w:line="360" w:lineRule="auto"/>
        <w:rPr>
          <w:rFonts w:ascii="Tahoma" w:hAnsi="Tahoma" w:cs="Tahoma"/>
          <w:sz w:val="22"/>
          <w:szCs w:val="22"/>
        </w:rPr>
      </w:pPr>
      <w:r w:rsidRPr="005936FA">
        <w:rPr>
          <w:rFonts w:ascii="Tahoma" w:hAnsi="Tahoma" w:cs="Tahoma"/>
          <w:sz w:val="22"/>
          <w:szCs w:val="22"/>
        </w:rPr>
        <w:t xml:space="preserve">Adicionalmente, en el marco del Programa de Seguridad Ciudadana y Prevención de la Violencia, durante el año 2025 se logró la inauguración del Centro Cívico por la Paz de Puntarenas, generando un beneficio directo para la comunidad al disponer de un espacio seguro y adecuado para promover el desarrollo integral de la población juvenil y la prevención de la violencia desde un enfoque </w:t>
      </w:r>
      <w:r w:rsidRPr="005936FA">
        <w:rPr>
          <w:rFonts w:ascii="Tahoma" w:hAnsi="Tahoma" w:cs="Tahoma"/>
          <w:sz w:val="22"/>
          <w:szCs w:val="22"/>
        </w:rPr>
        <w:lastRenderedPageBreak/>
        <w:t xml:space="preserve">comunitario. Asimismo, la implementación de Experimentos Aleatorios Controlados (EAC) como parte de la estrategia de fortalecimiento del </w:t>
      </w:r>
      <w:proofErr w:type="spellStart"/>
      <w:r w:rsidRPr="005936FA">
        <w:rPr>
          <w:rFonts w:ascii="Tahoma" w:hAnsi="Tahoma" w:cs="Tahoma"/>
          <w:sz w:val="22"/>
          <w:szCs w:val="22"/>
        </w:rPr>
        <w:t>policiamiento</w:t>
      </w:r>
      <w:proofErr w:type="spellEnd"/>
      <w:r w:rsidRPr="005936FA">
        <w:rPr>
          <w:rFonts w:ascii="Tahoma" w:hAnsi="Tahoma" w:cs="Tahoma"/>
          <w:sz w:val="22"/>
          <w:szCs w:val="22"/>
        </w:rPr>
        <w:t xml:space="preserve"> basado en evidencia permitió robustecer las capacidades institucionales en análisis criminal, planificación operativa y monitoreo de la implementación, mediante intervenciones focalizadas en puntos calientes delictivos en los distritos de Chacarita, El Roble y Barranca del cantón de Puntarenas.</w:t>
      </w:r>
    </w:p>
    <w:p w14:paraId="0CD9F406" w14:textId="5C684563" w:rsidR="00130AFA" w:rsidRPr="005936FA" w:rsidRDefault="00607D48" w:rsidP="00130AFA">
      <w:pPr>
        <w:pStyle w:val="Direccininterior"/>
        <w:spacing w:before="240" w:after="240" w:line="360" w:lineRule="auto"/>
        <w:rPr>
          <w:rFonts w:ascii="Tahoma" w:hAnsi="Tahoma" w:cs="Tahoma"/>
          <w:sz w:val="22"/>
          <w:szCs w:val="22"/>
        </w:rPr>
      </w:pPr>
      <w:r w:rsidRPr="005936FA">
        <w:rPr>
          <w:rFonts w:ascii="Tahoma" w:hAnsi="Tahoma" w:cs="Tahoma"/>
          <w:sz w:val="22"/>
          <w:szCs w:val="22"/>
        </w:rPr>
        <w:t>En conjunto, estos logros evidencian el impacto positivo de las acciones interinstitucionales implementadas, al contribuir de manera efectiva a la reducción de la criminalidad, al fortalecimiento de la prevención social de la violencia y a la consolidación de una gestión de la seguridad ciudadana más estratégica, focalizada y orientada a resultados en la Región Pacífico Central. Lo anterior se traduce en beneficios directos para la población, mediante el fortalecimiento de la convivencia pacífica, la paz social y el desarrollo integral del territorio.</w:t>
      </w:r>
    </w:p>
    <w:p w14:paraId="444E64AD" w14:textId="3FB6C8A1" w:rsidR="00BC42F7" w:rsidRDefault="00BC42F7" w:rsidP="00BC42F7">
      <w:pPr>
        <w:spacing w:line="360" w:lineRule="auto"/>
        <w:jc w:val="both"/>
        <w:rPr>
          <w:rFonts w:ascii="Arial" w:hAnsi="Arial" w:cs="Arial"/>
          <w:sz w:val="22"/>
          <w:lang w:val="es-ES" w:eastAsia="es-ES_tradnl"/>
        </w:rPr>
      </w:pPr>
      <w:r w:rsidRPr="00CF1A7C">
        <w:rPr>
          <w:rFonts w:ascii="Arial" w:hAnsi="Arial" w:cs="Arial"/>
          <w:sz w:val="22"/>
          <w:lang w:val="es-ES" w:eastAsia="es-ES_tradnl"/>
        </w:rPr>
        <w:t xml:space="preserve">En complemento a este análisis, el Reloj Criminal, elaborado por el </w:t>
      </w:r>
      <w:r w:rsidRPr="00DF5867">
        <w:rPr>
          <w:rFonts w:ascii="Arial" w:hAnsi="Arial" w:cs="Arial"/>
          <w:sz w:val="22"/>
          <w:lang w:val="es-ES" w:eastAsia="es-ES_tradnl"/>
        </w:rPr>
        <w:t>Organismo de Investigación Judicial</w:t>
      </w:r>
      <w:r w:rsidRPr="00CF1A7C">
        <w:rPr>
          <w:rFonts w:ascii="Arial" w:hAnsi="Arial" w:cs="Arial"/>
          <w:sz w:val="22"/>
          <w:lang w:val="es-ES" w:eastAsia="es-ES_tradnl"/>
        </w:rPr>
        <w:t>, ofrece una representación visual de la frecuencia con que ocurren diversos delitos en el país, permitiendo dimensionar su incidencia desde una perspectiva temporal. Esta herramienta facilita la comprensión del comportamiento delictivo promedio y refuerza la importancia de mantener una vigilancia constante sobre las principales tipologías delictivas. A continuación, se presenta dicho</w:t>
      </w:r>
      <w:r w:rsidR="00797A69">
        <w:rPr>
          <w:rFonts w:ascii="Arial" w:hAnsi="Arial" w:cs="Arial"/>
          <w:sz w:val="22"/>
          <w:lang w:val="es-ES" w:eastAsia="es-ES_tradnl"/>
        </w:rPr>
        <w:t xml:space="preserve">s resultados para el </w:t>
      </w:r>
      <w:r w:rsidR="00066663">
        <w:rPr>
          <w:rFonts w:ascii="Arial" w:hAnsi="Arial" w:cs="Arial"/>
          <w:sz w:val="22"/>
          <w:lang w:val="es-ES" w:eastAsia="es-ES_tradnl"/>
        </w:rPr>
        <w:t xml:space="preserve">año </w:t>
      </w:r>
      <w:r w:rsidR="00066663" w:rsidRPr="00CF1A7C">
        <w:rPr>
          <w:rFonts w:ascii="Arial" w:hAnsi="Arial" w:cs="Arial"/>
          <w:sz w:val="22"/>
          <w:lang w:val="es-ES" w:eastAsia="es-ES_tradnl"/>
        </w:rPr>
        <w:t>2025</w:t>
      </w:r>
      <w:r w:rsidRPr="00CF1A7C">
        <w:rPr>
          <w:rFonts w:ascii="Arial" w:hAnsi="Arial" w:cs="Arial"/>
          <w:sz w:val="22"/>
          <w:lang w:val="es-ES" w:eastAsia="es-ES_tradnl"/>
        </w:rPr>
        <w:t>.</w:t>
      </w:r>
    </w:p>
    <w:p w14:paraId="5AB73AB1" w14:textId="48E70B47" w:rsidR="00645B41" w:rsidRPr="00645B41" w:rsidRDefault="00645B41" w:rsidP="00645B41">
      <w:pPr>
        <w:spacing w:line="360" w:lineRule="auto"/>
        <w:jc w:val="center"/>
        <w:rPr>
          <w:rFonts w:cs="Tahoma"/>
          <w:b/>
          <w:bCs/>
          <w:sz w:val="22"/>
          <w:lang w:val="es-ES" w:eastAsia="es-ES_tradnl"/>
        </w:rPr>
      </w:pPr>
      <w:r w:rsidRPr="00645B41">
        <w:rPr>
          <w:rFonts w:cs="Tahoma"/>
          <w:b/>
          <w:bCs/>
          <w:sz w:val="22"/>
          <w:lang w:val="es-ES" w:eastAsia="es-ES_tradnl"/>
        </w:rPr>
        <w:t>Reloj Criminal 2025</w:t>
      </w:r>
    </w:p>
    <w:p w14:paraId="6D9E3787" w14:textId="1C608A81" w:rsidR="00645B41" w:rsidRPr="0041008B" w:rsidRDefault="00A66A40" w:rsidP="003D1A43">
      <w:pPr>
        <w:spacing w:after="0" w:line="276" w:lineRule="auto"/>
        <w:jc w:val="both"/>
        <w:rPr>
          <w:rFonts w:cs="Tahoma"/>
          <w:sz w:val="18"/>
          <w:szCs w:val="18"/>
        </w:rPr>
      </w:pPr>
      <w:r w:rsidRPr="00A66A40">
        <w:rPr>
          <w:rFonts w:cs="Tahoma"/>
          <w:noProof/>
          <w:sz w:val="22"/>
        </w:rPr>
        <w:drawing>
          <wp:inline distT="0" distB="0" distL="0" distR="0" wp14:anchorId="29F944ED" wp14:editId="751860A4">
            <wp:extent cx="5715000" cy="22134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896"/>
                    <a:stretch/>
                  </pic:blipFill>
                  <pic:spPr bwMode="auto">
                    <a:xfrm>
                      <a:off x="0" y="0"/>
                      <a:ext cx="5715495" cy="2213650"/>
                    </a:xfrm>
                    <a:prstGeom prst="rect">
                      <a:avLst/>
                    </a:prstGeom>
                    <a:ln>
                      <a:noFill/>
                    </a:ln>
                    <a:extLst>
                      <a:ext uri="{53640926-AAD7-44D8-BBD7-CCE9431645EC}">
                        <a14:shadowObscured xmlns:a14="http://schemas.microsoft.com/office/drawing/2010/main"/>
                      </a:ext>
                    </a:extLst>
                  </pic:spPr>
                </pic:pic>
              </a:graphicData>
            </a:graphic>
          </wp:inline>
        </w:drawing>
      </w:r>
      <w:r w:rsidR="00645B41" w:rsidRPr="00645B41">
        <w:rPr>
          <w:rFonts w:cs="Tahoma"/>
          <w:sz w:val="18"/>
          <w:szCs w:val="18"/>
        </w:rPr>
        <w:t xml:space="preserve"> </w:t>
      </w:r>
      <w:r w:rsidR="003D1A43" w:rsidRPr="003D1A43">
        <w:rPr>
          <w:rFonts w:cs="Tahoma"/>
          <w:b/>
          <w:bCs/>
          <w:sz w:val="18"/>
          <w:szCs w:val="18"/>
        </w:rPr>
        <w:t>Nota</w:t>
      </w:r>
      <w:r w:rsidR="003D1A43">
        <w:rPr>
          <w:rFonts w:cs="Tahoma"/>
          <w:sz w:val="18"/>
          <w:szCs w:val="18"/>
        </w:rPr>
        <w:t>.</w:t>
      </w:r>
      <w:r w:rsidR="00645B41" w:rsidRPr="0041008B">
        <w:rPr>
          <w:rFonts w:cs="Tahoma"/>
          <w:sz w:val="18"/>
          <w:szCs w:val="18"/>
        </w:rPr>
        <w:t xml:space="preserve"> </w:t>
      </w:r>
      <w:r w:rsidR="00645B41" w:rsidRPr="007D353E">
        <w:rPr>
          <w:rFonts w:cs="Tahoma"/>
          <w:sz w:val="18"/>
          <w:szCs w:val="18"/>
        </w:rPr>
        <w:t xml:space="preserve">Resultados actualizados con estadísticas policiales del Organismo de Investigación Judicial </w:t>
      </w:r>
      <w:r w:rsidR="00645B41">
        <w:rPr>
          <w:rFonts w:cs="Tahoma"/>
          <w:sz w:val="18"/>
          <w:szCs w:val="18"/>
        </w:rPr>
        <w:t>del 01 de enero al</w:t>
      </w:r>
      <w:r w:rsidR="00645B41" w:rsidRPr="007D353E">
        <w:rPr>
          <w:rFonts w:cs="Tahoma"/>
          <w:sz w:val="18"/>
          <w:szCs w:val="18"/>
        </w:rPr>
        <w:t xml:space="preserve"> 3</w:t>
      </w:r>
      <w:r w:rsidR="00645B41">
        <w:rPr>
          <w:rFonts w:cs="Tahoma"/>
          <w:sz w:val="18"/>
          <w:szCs w:val="18"/>
        </w:rPr>
        <w:t>1</w:t>
      </w:r>
      <w:r w:rsidR="00645B41" w:rsidRPr="007D353E">
        <w:rPr>
          <w:rFonts w:cs="Tahoma"/>
          <w:sz w:val="18"/>
          <w:szCs w:val="18"/>
        </w:rPr>
        <w:t xml:space="preserve"> de </w:t>
      </w:r>
      <w:r w:rsidR="00645B41">
        <w:rPr>
          <w:rFonts w:cs="Tahoma"/>
          <w:sz w:val="18"/>
          <w:szCs w:val="18"/>
        </w:rPr>
        <w:t>diciembre de 2025</w:t>
      </w:r>
      <w:r w:rsidR="00645B41" w:rsidRPr="007D353E">
        <w:rPr>
          <w:rFonts w:cs="Tahoma"/>
          <w:sz w:val="18"/>
          <w:szCs w:val="18"/>
        </w:rPr>
        <w:t xml:space="preserve">. Datos recuperados </w:t>
      </w:r>
      <w:r w:rsidR="00645B41" w:rsidRPr="006B3D6F">
        <w:rPr>
          <w:rFonts w:cs="Tahoma"/>
          <w:sz w:val="18"/>
          <w:szCs w:val="18"/>
        </w:rPr>
        <w:t xml:space="preserve">el </w:t>
      </w:r>
      <w:r w:rsidR="00645B41">
        <w:rPr>
          <w:rFonts w:cs="Tahoma"/>
          <w:sz w:val="18"/>
          <w:szCs w:val="18"/>
        </w:rPr>
        <w:t>05</w:t>
      </w:r>
      <w:r w:rsidR="00645B41" w:rsidRPr="006B3D6F">
        <w:rPr>
          <w:rFonts w:cs="Tahoma"/>
          <w:sz w:val="18"/>
          <w:szCs w:val="18"/>
        </w:rPr>
        <w:t>/</w:t>
      </w:r>
      <w:r w:rsidR="00645B41">
        <w:rPr>
          <w:rFonts w:cs="Tahoma"/>
          <w:sz w:val="18"/>
          <w:szCs w:val="18"/>
        </w:rPr>
        <w:t>01</w:t>
      </w:r>
      <w:r w:rsidR="00645B41" w:rsidRPr="006B3D6F">
        <w:rPr>
          <w:rFonts w:cs="Tahoma"/>
          <w:sz w:val="18"/>
          <w:szCs w:val="18"/>
        </w:rPr>
        <w:t>/202</w:t>
      </w:r>
      <w:r w:rsidR="00645B41">
        <w:rPr>
          <w:rFonts w:cs="Tahoma"/>
          <w:sz w:val="18"/>
          <w:szCs w:val="18"/>
        </w:rPr>
        <w:t>6</w:t>
      </w:r>
      <w:r w:rsidR="00645B41" w:rsidRPr="007D353E">
        <w:rPr>
          <w:rFonts w:cs="Tahoma"/>
          <w:sz w:val="18"/>
          <w:szCs w:val="18"/>
        </w:rPr>
        <w:t xml:space="preserve"> de </w:t>
      </w:r>
      <w:hyperlink r:id="rId19" w:history="1">
        <w:r w:rsidR="00645B41" w:rsidRPr="007D353E">
          <w:rPr>
            <w:rStyle w:val="Hipervnculo"/>
            <w:rFonts w:cs="Tahoma"/>
            <w:sz w:val="18"/>
            <w:szCs w:val="18"/>
          </w:rPr>
          <w:t>https://pjenlinea3.poder-judicial.go.cr/estadisticasoij/</w:t>
        </w:r>
      </w:hyperlink>
    </w:p>
    <w:p w14:paraId="613AB46F" w14:textId="77777777" w:rsidR="00372E6B" w:rsidRPr="00372E6B" w:rsidRDefault="00372E6B" w:rsidP="00372E6B">
      <w:pPr>
        <w:pStyle w:val="Direccininterior"/>
        <w:spacing w:before="240" w:after="240" w:line="360" w:lineRule="auto"/>
        <w:rPr>
          <w:rFonts w:ascii="Tahoma" w:hAnsi="Tahoma" w:cs="Tahoma"/>
          <w:sz w:val="22"/>
        </w:rPr>
      </w:pPr>
      <w:r w:rsidRPr="00372E6B">
        <w:rPr>
          <w:rFonts w:ascii="Tahoma" w:hAnsi="Tahoma" w:cs="Tahoma"/>
          <w:sz w:val="22"/>
        </w:rPr>
        <w:lastRenderedPageBreak/>
        <w:t>El reloj criminal del año 2025 muestra que en Costa Rica predominan los delitos contra la propiedad, especialmente el hurto, que ocurre en promedio cada 40 minutos. Los robos y asaltos se presentan aproximadamente cada hora, mientras que el robo y la tacha de vehículos ocurren cada dos horas, evidenciando una afectación constante al patrimonio de las personas.</w:t>
      </w:r>
    </w:p>
    <w:p w14:paraId="2428E0C4" w14:textId="77777777" w:rsidR="00372E6B" w:rsidRPr="00372E6B" w:rsidRDefault="00372E6B" w:rsidP="00372E6B">
      <w:pPr>
        <w:pStyle w:val="Direccininterior"/>
        <w:spacing w:before="240" w:after="240" w:line="360" w:lineRule="auto"/>
        <w:rPr>
          <w:rFonts w:ascii="Tahoma" w:hAnsi="Tahoma" w:cs="Tahoma"/>
          <w:sz w:val="22"/>
        </w:rPr>
      </w:pPr>
      <w:r w:rsidRPr="00372E6B">
        <w:rPr>
          <w:rFonts w:ascii="Tahoma" w:hAnsi="Tahoma" w:cs="Tahoma"/>
          <w:sz w:val="22"/>
        </w:rPr>
        <w:t>Por su parte, el homicidio, aunque menos frecuente (uno cada 10 horas), representa el delito de mayor gravedad y mantiene un impacto significativo en la seguridad ciudadana.</w:t>
      </w:r>
    </w:p>
    <w:p w14:paraId="61BB5291" w14:textId="5759FA80" w:rsidR="0073029B" w:rsidRPr="0073029B" w:rsidRDefault="0073029B" w:rsidP="0073029B">
      <w:pPr>
        <w:pStyle w:val="Ttulo2"/>
        <w:rPr>
          <w:rFonts w:cs="Tahoma"/>
          <w:sz w:val="22"/>
          <w:szCs w:val="22"/>
        </w:rPr>
      </w:pPr>
      <w:bookmarkStart w:id="15" w:name="_Toc189055689"/>
      <w:bookmarkStart w:id="16" w:name="_Toc220401614"/>
      <w:r w:rsidRPr="0073029B">
        <w:rPr>
          <w:rFonts w:cs="Tahoma"/>
          <w:sz w:val="22"/>
          <w:szCs w:val="22"/>
          <w:u w:val="single"/>
        </w:rPr>
        <w:t>Indicador 2.</w:t>
      </w:r>
      <w:r w:rsidRPr="0073029B">
        <w:rPr>
          <w:rFonts w:cs="Tahoma"/>
          <w:sz w:val="22"/>
          <w:szCs w:val="22"/>
        </w:rPr>
        <w:t xml:space="preserve"> </w:t>
      </w:r>
      <w:bookmarkEnd w:id="15"/>
      <w:r w:rsidR="00FF2CC6" w:rsidRPr="00FF2CC6">
        <w:t xml:space="preserve"> </w:t>
      </w:r>
      <w:r w:rsidR="00FF2CC6" w:rsidRPr="00FF2CC6">
        <w:rPr>
          <w:rFonts w:cs="Tahoma"/>
          <w:sz w:val="22"/>
          <w:szCs w:val="22"/>
        </w:rPr>
        <w:t>Porcentaje de avance en la ejecución de la Estrategia Nacional para el Combate del Acoso y Hostigamiento Sexual contra las Mujeres, con respecto a los cinco ejes de trabajo. (RUTA DE GÉNERO)</w:t>
      </w:r>
      <w:bookmarkEnd w:id="16"/>
    </w:p>
    <w:p w14:paraId="6A5B66AE" w14:textId="77777777" w:rsidR="0073029B" w:rsidRPr="0073029B" w:rsidRDefault="0073029B" w:rsidP="0073029B">
      <w:pPr>
        <w:spacing w:after="0" w:line="360" w:lineRule="auto"/>
        <w:jc w:val="both"/>
        <w:rPr>
          <w:rFonts w:cs="Tahoma"/>
          <w:sz w:val="22"/>
        </w:rPr>
      </w:pPr>
    </w:p>
    <w:p w14:paraId="7B985D95" w14:textId="21E76DCA" w:rsidR="00867880" w:rsidRPr="0073029B" w:rsidRDefault="00867880" w:rsidP="00867880">
      <w:pPr>
        <w:spacing w:after="0" w:line="360" w:lineRule="auto"/>
        <w:jc w:val="both"/>
        <w:rPr>
          <w:rFonts w:cs="Tahoma"/>
          <w:sz w:val="22"/>
        </w:rPr>
      </w:pPr>
      <w:bookmarkStart w:id="17" w:name="_Hlk189065589"/>
      <w:r w:rsidRPr="0073029B">
        <w:rPr>
          <w:rFonts w:cs="Tahoma"/>
          <w:sz w:val="22"/>
        </w:rPr>
        <w:t xml:space="preserve">En cuanto a la meta sectorial “Porcentaje de avance en la ejecución de la Estrategia Nacional para el Combate del Acoso y Hostigamiento Sexual contra las Mujeres, con respecto a los cinco ejes de trabajo (RUTA DE GÉNERO)”, el cumplimiento de la meta programada en el año </w:t>
      </w:r>
      <w:r w:rsidR="00711D08" w:rsidRPr="0073029B">
        <w:rPr>
          <w:rFonts w:cs="Tahoma"/>
          <w:sz w:val="22"/>
        </w:rPr>
        <w:t>202</w:t>
      </w:r>
      <w:r w:rsidR="00711D08">
        <w:rPr>
          <w:rFonts w:cs="Tahoma"/>
          <w:sz w:val="22"/>
        </w:rPr>
        <w:t xml:space="preserve">5 </w:t>
      </w:r>
      <w:r w:rsidR="00711D08" w:rsidRPr="0073029B">
        <w:rPr>
          <w:rFonts w:cs="Tahoma"/>
          <w:sz w:val="22"/>
        </w:rPr>
        <w:t>se</w:t>
      </w:r>
      <w:r w:rsidRPr="0073029B">
        <w:rPr>
          <w:rFonts w:cs="Tahoma"/>
          <w:sz w:val="22"/>
        </w:rPr>
        <w:t xml:space="preserve"> cumplió </w:t>
      </w:r>
      <w:r w:rsidR="002347E0">
        <w:rPr>
          <w:rFonts w:cs="Tahoma"/>
          <w:sz w:val="22"/>
        </w:rPr>
        <w:t>al 100%</w:t>
      </w:r>
      <w:r w:rsidR="00711D08">
        <w:rPr>
          <w:rFonts w:cs="Tahoma"/>
          <w:sz w:val="22"/>
        </w:rPr>
        <w:t xml:space="preserve">. Entre las acciones y logros destacados se detallan: </w:t>
      </w:r>
    </w:p>
    <w:p w14:paraId="45FE4A15" w14:textId="77777777" w:rsidR="00867880" w:rsidRDefault="00867880" w:rsidP="0073029B">
      <w:pPr>
        <w:spacing w:after="0" w:line="360" w:lineRule="auto"/>
        <w:jc w:val="both"/>
        <w:rPr>
          <w:rFonts w:cs="Tahoma"/>
          <w:sz w:val="22"/>
        </w:rPr>
      </w:pPr>
    </w:p>
    <w:p w14:paraId="0D8BA386" w14:textId="2659E9C0" w:rsidR="00867880" w:rsidRPr="009D07F0" w:rsidRDefault="00867880" w:rsidP="009D07F0">
      <w:pPr>
        <w:pStyle w:val="Prrafodelista"/>
        <w:numPr>
          <w:ilvl w:val="0"/>
          <w:numId w:val="28"/>
        </w:numPr>
        <w:spacing w:after="0" w:line="360" w:lineRule="auto"/>
        <w:jc w:val="both"/>
        <w:rPr>
          <w:rFonts w:cs="Tahoma"/>
          <w:sz w:val="22"/>
        </w:rPr>
      </w:pPr>
      <w:r w:rsidRPr="009D07F0">
        <w:rPr>
          <w:rFonts w:cs="Tahoma"/>
          <w:b/>
          <w:bCs/>
          <w:sz w:val="22"/>
        </w:rPr>
        <w:t>Estrategia de Comunicación:</w:t>
      </w:r>
      <w:r w:rsidRPr="009D07F0">
        <w:rPr>
          <w:rFonts w:cs="Tahoma"/>
          <w:sz w:val="22"/>
        </w:rPr>
        <w:t xml:space="preserve"> se logra ejecutar lo programado a través de las pautas traseras de los buses sobre femicidio: monto presupuestado y ejecutado: ¢16.445.000</w:t>
      </w:r>
    </w:p>
    <w:p w14:paraId="410CF21E" w14:textId="4ABADB96" w:rsidR="00867880" w:rsidRPr="00711D08" w:rsidRDefault="00867880" w:rsidP="00711D08">
      <w:pPr>
        <w:pStyle w:val="Prrafodelista"/>
        <w:numPr>
          <w:ilvl w:val="0"/>
          <w:numId w:val="26"/>
        </w:numPr>
        <w:spacing w:after="0" w:line="360" w:lineRule="auto"/>
        <w:jc w:val="both"/>
        <w:rPr>
          <w:rFonts w:cs="Tahoma"/>
          <w:sz w:val="22"/>
        </w:rPr>
      </w:pPr>
      <w:r w:rsidRPr="00711D08">
        <w:rPr>
          <w:rFonts w:cs="Tahoma"/>
          <w:sz w:val="22"/>
        </w:rPr>
        <w:t>Estrategia de Comunicación: Traseras de buses sobre femicidio</w:t>
      </w:r>
    </w:p>
    <w:p w14:paraId="28B149B5" w14:textId="2642D1EA" w:rsidR="00867880" w:rsidRPr="00867880" w:rsidRDefault="00867880" w:rsidP="00867880">
      <w:pPr>
        <w:spacing w:after="0" w:line="360" w:lineRule="auto"/>
        <w:jc w:val="both"/>
        <w:rPr>
          <w:rFonts w:cs="Tahoma"/>
          <w:sz w:val="22"/>
        </w:rPr>
      </w:pPr>
      <w:r w:rsidRPr="00867880">
        <w:rPr>
          <w:rFonts w:cs="Tahoma"/>
          <w:sz w:val="22"/>
        </w:rPr>
        <w:t xml:space="preserve">La ejecución de la estrategia de comunicación mediante traseras de buses generó como principal beneficio el aumento de la sensibilización y concienciación de la población sobre el femicidio y la violencia contra las mujeres, al difundir mensajes preventivos en espacios públicos de alta afluencia y circulación cotidiana. Esta acción permitió ampliar el alcance del mensaje a diversos grupos poblacionales, incluyendo mujeres que no acceden regularmente a medios digitales o especializados, contribuyendo a la </w:t>
      </w:r>
      <w:proofErr w:type="spellStart"/>
      <w:r w:rsidRPr="00867880">
        <w:rPr>
          <w:rFonts w:cs="Tahoma"/>
          <w:sz w:val="22"/>
        </w:rPr>
        <w:t>visibilización</w:t>
      </w:r>
      <w:proofErr w:type="spellEnd"/>
      <w:r w:rsidRPr="00867880">
        <w:rPr>
          <w:rFonts w:cs="Tahoma"/>
          <w:sz w:val="22"/>
        </w:rPr>
        <w:t xml:space="preserve"> de la problemática, el reconocimiento de la violencia como un asunto público y la promoción de una cultura de prevención y no tolerancia hacia las violencias contra las mujeres.</w:t>
      </w:r>
    </w:p>
    <w:p w14:paraId="654F517C" w14:textId="77777777" w:rsidR="00BB4CCD" w:rsidRDefault="00BB4CCD" w:rsidP="00867880">
      <w:pPr>
        <w:spacing w:after="0" w:line="360" w:lineRule="auto"/>
        <w:jc w:val="both"/>
        <w:rPr>
          <w:rFonts w:cs="Tahoma"/>
          <w:sz w:val="22"/>
        </w:rPr>
      </w:pPr>
    </w:p>
    <w:p w14:paraId="0F124492" w14:textId="77777777" w:rsidR="00F54DFF" w:rsidRDefault="00F54DFF" w:rsidP="00867880">
      <w:pPr>
        <w:spacing w:after="0" w:line="360" w:lineRule="auto"/>
        <w:jc w:val="both"/>
        <w:rPr>
          <w:rFonts w:cs="Tahoma"/>
          <w:sz w:val="22"/>
        </w:rPr>
      </w:pPr>
    </w:p>
    <w:p w14:paraId="282ACAFF" w14:textId="77777777" w:rsidR="00F54DFF" w:rsidRDefault="00F54DFF" w:rsidP="00867880">
      <w:pPr>
        <w:spacing w:after="0" w:line="360" w:lineRule="auto"/>
        <w:jc w:val="both"/>
        <w:rPr>
          <w:rFonts w:cs="Tahoma"/>
          <w:sz w:val="22"/>
        </w:rPr>
      </w:pPr>
    </w:p>
    <w:p w14:paraId="631D99A9" w14:textId="77777777" w:rsidR="00F54DFF" w:rsidRPr="00867880" w:rsidRDefault="00F54DFF" w:rsidP="00867880">
      <w:pPr>
        <w:spacing w:after="0" w:line="360" w:lineRule="auto"/>
        <w:jc w:val="both"/>
        <w:rPr>
          <w:rFonts w:cs="Tahoma"/>
          <w:sz w:val="22"/>
        </w:rPr>
      </w:pPr>
    </w:p>
    <w:p w14:paraId="2E475426" w14:textId="7BDA5D3D" w:rsidR="00867880" w:rsidRPr="009D07F0" w:rsidRDefault="00867880" w:rsidP="009D07F0">
      <w:pPr>
        <w:pStyle w:val="Prrafodelista"/>
        <w:numPr>
          <w:ilvl w:val="0"/>
          <w:numId w:val="28"/>
        </w:numPr>
        <w:spacing w:after="0" w:line="360" w:lineRule="auto"/>
        <w:jc w:val="both"/>
        <w:rPr>
          <w:rFonts w:cs="Tahoma"/>
          <w:b/>
          <w:bCs/>
          <w:sz w:val="22"/>
        </w:rPr>
      </w:pPr>
      <w:r w:rsidRPr="009D07F0">
        <w:rPr>
          <w:rFonts w:cs="Tahoma"/>
          <w:b/>
          <w:bCs/>
          <w:sz w:val="22"/>
        </w:rPr>
        <w:lastRenderedPageBreak/>
        <w:t xml:space="preserve">Mecanismos de auxilio: </w:t>
      </w:r>
    </w:p>
    <w:p w14:paraId="2A16EB12" w14:textId="77FDCAC4" w:rsidR="00867880" w:rsidRPr="009D07F0" w:rsidRDefault="00867880" w:rsidP="00867880">
      <w:pPr>
        <w:pStyle w:val="Prrafodelista"/>
        <w:numPr>
          <w:ilvl w:val="0"/>
          <w:numId w:val="26"/>
        </w:numPr>
        <w:spacing w:after="0" w:line="360" w:lineRule="auto"/>
        <w:jc w:val="both"/>
        <w:rPr>
          <w:rFonts w:cs="Tahoma"/>
          <w:sz w:val="22"/>
        </w:rPr>
      </w:pPr>
      <w:r w:rsidRPr="000D1A4B">
        <w:rPr>
          <w:rFonts w:cs="Tahoma"/>
          <w:sz w:val="22"/>
        </w:rPr>
        <w:t xml:space="preserve">La </w:t>
      </w:r>
      <w:r w:rsidRPr="000D1A4B">
        <w:rPr>
          <w:rFonts w:cs="Tahoma"/>
          <w:b/>
          <w:bCs/>
          <w:sz w:val="22"/>
        </w:rPr>
        <w:t>aplicación ELA</w:t>
      </w:r>
      <w:r w:rsidRPr="000D1A4B">
        <w:rPr>
          <w:rFonts w:cs="Tahoma"/>
          <w:sz w:val="22"/>
        </w:rPr>
        <w:t xml:space="preserve"> fue lanzada el 8 de marzo de 2025. Desde esa fecha y hasta el 31 de diciembre de 2025, ha sido utilizada por 13.157 usuarias actualmente, principalmente mujeres de la región Central, en su mayoría con edades entre 30 y 44 años y con nivel educativo de secundaria.</w:t>
      </w:r>
      <w:r w:rsidR="009D07F0">
        <w:rPr>
          <w:rFonts w:cs="Tahoma"/>
          <w:sz w:val="22"/>
        </w:rPr>
        <w:t xml:space="preserve"> </w:t>
      </w:r>
      <w:r w:rsidRPr="009D07F0">
        <w:rPr>
          <w:rFonts w:cs="Tahoma"/>
          <w:sz w:val="22"/>
        </w:rPr>
        <w:t xml:space="preserve">Durante este período, la app ha generado, a las mujeres que la consultan, las siguientes alertas basadas en el </w:t>
      </w:r>
      <w:proofErr w:type="spellStart"/>
      <w:r w:rsidRPr="009D07F0">
        <w:rPr>
          <w:rFonts w:cs="Tahoma"/>
          <w:sz w:val="22"/>
        </w:rPr>
        <w:t>violentometro</w:t>
      </w:r>
      <w:proofErr w:type="spellEnd"/>
      <w:r w:rsidRPr="009D07F0">
        <w:rPr>
          <w:rFonts w:cs="Tahoma"/>
          <w:sz w:val="22"/>
        </w:rPr>
        <w:t>:</w:t>
      </w:r>
    </w:p>
    <w:p w14:paraId="4C44D739" w14:textId="77777777" w:rsidR="00867880" w:rsidRPr="009D07F0" w:rsidRDefault="00867880" w:rsidP="009D07F0">
      <w:pPr>
        <w:pStyle w:val="Prrafodelista"/>
        <w:numPr>
          <w:ilvl w:val="1"/>
          <w:numId w:val="26"/>
        </w:numPr>
        <w:spacing w:after="0" w:line="360" w:lineRule="auto"/>
        <w:jc w:val="both"/>
        <w:rPr>
          <w:rFonts w:cs="Tahoma"/>
          <w:sz w:val="22"/>
        </w:rPr>
      </w:pPr>
      <w:r w:rsidRPr="009D07F0">
        <w:rPr>
          <w:rFonts w:cs="Tahoma"/>
          <w:sz w:val="22"/>
        </w:rPr>
        <w:t>333 mujeres fueron alertadas de que el nivel de violencia que viven con sus parejas es de muy alto riesgo.</w:t>
      </w:r>
    </w:p>
    <w:p w14:paraId="08017CB4" w14:textId="77777777" w:rsidR="00867880" w:rsidRPr="009D07F0" w:rsidRDefault="00867880" w:rsidP="009D07F0">
      <w:pPr>
        <w:pStyle w:val="Prrafodelista"/>
        <w:numPr>
          <w:ilvl w:val="1"/>
          <w:numId w:val="26"/>
        </w:numPr>
        <w:spacing w:after="0" w:line="360" w:lineRule="auto"/>
        <w:jc w:val="both"/>
        <w:rPr>
          <w:rFonts w:cs="Tahoma"/>
          <w:sz w:val="22"/>
        </w:rPr>
      </w:pPr>
      <w:r w:rsidRPr="009D07F0">
        <w:rPr>
          <w:rFonts w:cs="Tahoma"/>
          <w:sz w:val="22"/>
        </w:rPr>
        <w:t>158 mujeres recibieron la indicación de que es necesario reaccionar.</w:t>
      </w:r>
    </w:p>
    <w:p w14:paraId="3C19B472" w14:textId="77777777" w:rsidR="00867880" w:rsidRPr="009D07F0" w:rsidRDefault="00867880" w:rsidP="009D07F0">
      <w:pPr>
        <w:pStyle w:val="Prrafodelista"/>
        <w:numPr>
          <w:ilvl w:val="1"/>
          <w:numId w:val="26"/>
        </w:numPr>
        <w:spacing w:after="0" w:line="360" w:lineRule="auto"/>
        <w:jc w:val="both"/>
        <w:rPr>
          <w:rFonts w:cs="Tahoma"/>
          <w:sz w:val="22"/>
        </w:rPr>
      </w:pPr>
      <w:r w:rsidRPr="009D07F0">
        <w:rPr>
          <w:rFonts w:cs="Tahoma"/>
          <w:sz w:val="22"/>
        </w:rPr>
        <w:t>1.279 mujeres obtuvieron una alerta amarilla.</w:t>
      </w:r>
    </w:p>
    <w:p w14:paraId="412C55F3" w14:textId="77777777" w:rsidR="00867880" w:rsidRPr="009D07F0" w:rsidRDefault="00867880" w:rsidP="009D07F0">
      <w:pPr>
        <w:pStyle w:val="Prrafodelista"/>
        <w:numPr>
          <w:ilvl w:val="1"/>
          <w:numId w:val="26"/>
        </w:numPr>
        <w:spacing w:after="0" w:line="360" w:lineRule="auto"/>
        <w:jc w:val="both"/>
        <w:rPr>
          <w:rFonts w:cs="Tahoma"/>
          <w:sz w:val="22"/>
        </w:rPr>
      </w:pPr>
      <w:r w:rsidRPr="009D07F0">
        <w:rPr>
          <w:rFonts w:cs="Tahoma"/>
          <w:sz w:val="22"/>
        </w:rPr>
        <w:t xml:space="preserve">5.801 mujeres recibieron como resultado en el </w:t>
      </w:r>
      <w:proofErr w:type="spellStart"/>
      <w:r w:rsidRPr="009D07F0">
        <w:rPr>
          <w:rFonts w:cs="Tahoma"/>
          <w:sz w:val="22"/>
        </w:rPr>
        <w:t>violentómetro</w:t>
      </w:r>
      <w:proofErr w:type="spellEnd"/>
      <w:r w:rsidRPr="009D07F0">
        <w:rPr>
          <w:rFonts w:cs="Tahoma"/>
          <w:sz w:val="22"/>
        </w:rPr>
        <w:t xml:space="preserve"> que no viven violencia</w:t>
      </w:r>
    </w:p>
    <w:p w14:paraId="5CEA31A1" w14:textId="77777777" w:rsidR="00867880" w:rsidRPr="00867880" w:rsidRDefault="00867880" w:rsidP="00867880">
      <w:pPr>
        <w:spacing w:after="0" w:line="360" w:lineRule="auto"/>
        <w:jc w:val="both"/>
        <w:rPr>
          <w:rFonts w:cs="Tahoma"/>
          <w:sz w:val="22"/>
        </w:rPr>
      </w:pPr>
    </w:p>
    <w:p w14:paraId="1F7ECBFA" w14:textId="3BD2D863" w:rsidR="00867880" w:rsidRPr="00867880" w:rsidRDefault="00867880" w:rsidP="00867880">
      <w:pPr>
        <w:spacing w:after="0" w:line="360" w:lineRule="auto"/>
        <w:jc w:val="both"/>
        <w:rPr>
          <w:rFonts w:cs="Tahoma"/>
          <w:sz w:val="22"/>
        </w:rPr>
      </w:pPr>
      <w:r w:rsidRPr="00867880">
        <w:rPr>
          <w:rFonts w:cs="Tahoma"/>
          <w:sz w:val="22"/>
        </w:rPr>
        <w:t xml:space="preserve">La implementación de la aplicación ELA benefició directamente a las mujeres usuarias al fortalecer la detección temprana de situaciones de violencia, permitir la autovaloración del nivel de riesgo mediante el </w:t>
      </w:r>
      <w:proofErr w:type="spellStart"/>
      <w:r w:rsidRPr="00867880">
        <w:rPr>
          <w:rFonts w:cs="Tahoma"/>
          <w:sz w:val="22"/>
        </w:rPr>
        <w:t>violentómetro</w:t>
      </w:r>
      <w:proofErr w:type="spellEnd"/>
      <w:r w:rsidRPr="00867880">
        <w:rPr>
          <w:rFonts w:cs="Tahoma"/>
          <w:sz w:val="22"/>
        </w:rPr>
        <w:t xml:space="preserve"> y facilitar el acceso inmediato a orientación, acompañamiento y mecanismos de auxilio, incluyendo la activación de emergencias a través del 9-1-1. Como efecto, se promovió la toma de decisiones informadas sobre la seguridad personal, el acceso oportuno a servicios institucionales y la reducción de barreras para solicitar ayuda, contribuyendo a una mayor protección, autonomía y empoderamiento de las mujeres en situación de riesgo.</w:t>
      </w:r>
    </w:p>
    <w:p w14:paraId="5E63EB2B" w14:textId="77777777" w:rsidR="00867880" w:rsidRPr="00867880" w:rsidRDefault="00867880" w:rsidP="00867880">
      <w:pPr>
        <w:spacing w:after="0" w:line="360" w:lineRule="auto"/>
        <w:jc w:val="both"/>
        <w:rPr>
          <w:rFonts w:cs="Tahoma"/>
          <w:sz w:val="22"/>
        </w:rPr>
      </w:pPr>
    </w:p>
    <w:p w14:paraId="06182CD1" w14:textId="47ACC9ED" w:rsidR="00867880" w:rsidRPr="00472E22" w:rsidRDefault="00867880" w:rsidP="00867880">
      <w:pPr>
        <w:pStyle w:val="Prrafodelista"/>
        <w:numPr>
          <w:ilvl w:val="0"/>
          <w:numId w:val="26"/>
        </w:numPr>
        <w:spacing w:after="0" w:line="360" w:lineRule="auto"/>
        <w:jc w:val="both"/>
        <w:rPr>
          <w:rFonts w:cs="Tahoma"/>
          <w:sz w:val="22"/>
        </w:rPr>
      </w:pPr>
      <w:r w:rsidRPr="000D1A4B">
        <w:rPr>
          <w:rFonts w:cs="Tahoma"/>
          <w:sz w:val="22"/>
        </w:rPr>
        <w:t xml:space="preserve"> </w:t>
      </w:r>
      <w:r w:rsidRPr="000D1A4B">
        <w:rPr>
          <w:rFonts w:cs="Tahoma"/>
          <w:b/>
          <w:bCs/>
          <w:sz w:val="22"/>
        </w:rPr>
        <w:t>Espacios seguros:</w:t>
      </w:r>
      <w:r w:rsidRPr="000D1A4B">
        <w:rPr>
          <w:rFonts w:cs="Tahoma"/>
          <w:sz w:val="22"/>
        </w:rPr>
        <w:t xml:space="preserve"> A partir del año 2025, en su segunda edición, se incorporan nuevas medidas relacionadas con documentación, y fortalecimiento de la estrategia y robustecimiento de la capacitación.  Llevando a la habilitación de 43 espacios físicos. </w:t>
      </w:r>
      <w:r w:rsidR="00472E22">
        <w:rPr>
          <w:rFonts w:cs="Tahoma"/>
          <w:sz w:val="22"/>
        </w:rPr>
        <w:t xml:space="preserve"> Lo cual no</w:t>
      </w:r>
      <w:r w:rsidRPr="00472E22">
        <w:rPr>
          <w:rFonts w:cs="Tahoma"/>
          <w:sz w:val="22"/>
        </w:rPr>
        <w:t xml:space="preserve"> requi</w:t>
      </w:r>
      <w:r w:rsidR="00472E22">
        <w:rPr>
          <w:rFonts w:cs="Tahoma"/>
          <w:sz w:val="22"/>
        </w:rPr>
        <w:t xml:space="preserve">rió de </w:t>
      </w:r>
      <w:r w:rsidRPr="00472E22">
        <w:rPr>
          <w:rFonts w:cs="Tahoma"/>
          <w:sz w:val="22"/>
        </w:rPr>
        <w:t>presupuesto, ya que las capacitaciones se realizan a nivel interno, con personal institucional.</w:t>
      </w:r>
    </w:p>
    <w:p w14:paraId="687BFF27" w14:textId="77777777" w:rsidR="00867880" w:rsidRPr="00867880" w:rsidRDefault="00867880" w:rsidP="00867880">
      <w:pPr>
        <w:spacing w:after="0" w:line="360" w:lineRule="auto"/>
        <w:jc w:val="both"/>
        <w:rPr>
          <w:rFonts w:cs="Tahoma"/>
          <w:sz w:val="22"/>
        </w:rPr>
      </w:pPr>
    </w:p>
    <w:p w14:paraId="48943B42" w14:textId="77F861F7" w:rsidR="00867880" w:rsidRDefault="00867880" w:rsidP="00867880">
      <w:pPr>
        <w:spacing w:after="0" w:line="360" w:lineRule="auto"/>
        <w:jc w:val="both"/>
        <w:rPr>
          <w:rFonts w:cs="Tahoma"/>
          <w:sz w:val="22"/>
        </w:rPr>
      </w:pPr>
      <w:r w:rsidRPr="00867880">
        <w:rPr>
          <w:rFonts w:cs="Tahoma"/>
          <w:sz w:val="22"/>
        </w:rPr>
        <w:t xml:space="preserve">La habilitación y fortalecimiento de Espacios Seguros generó beneficios orientados a la protección comunitaria y territorial de las mujeres, al disponer de espacios físicos identificables, capacitados y articulados con la institucionalidad, donde las mujeres pueden solicitar apoyo inmediato ante </w:t>
      </w:r>
      <w:r w:rsidRPr="00867880">
        <w:rPr>
          <w:rFonts w:cs="Tahoma"/>
          <w:sz w:val="22"/>
        </w:rPr>
        <w:lastRenderedPageBreak/>
        <w:t>situaciones de acoso o violencia. Esta acción contribuyó a ampliar las redes locales de prevención y atención, mejorar la respuesta inicial ante situaciones de riesgo y aumentar la percepción de seguridad en entornos cotidianos, favoreciendo la confianza de las mujeres para buscar ayuda oportuna y fortaleciendo la corresponsabilidad comunitaria en la prevención de la violencia de género.</w:t>
      </w:r>
    </w:p>
    <w:p w14:paraId="7312CA44" w14:textId="03B58449" w:rsidR="00476998" w:rsidRPr="0073029B" w:rsidRDefault="00B80134" w:rsidP="00106D96">
      <w:pPr>
        <w:pStyle w:val="Ttulo1"/>
        <w:rPr>
          <w:rFonts w:cs="Tahoma"/>
        </w:rPr>
      </w:pPr>
      <w:bookmarkStart w:id="18" w:name="_Toc220401615"/>
      <w:bookmarkEnd w:id="17"/>
      <w:r w:rsidRPr="0073029B">
        <w:rPr>
          <w:rFonts w:cs="Tahoma"/>
        </w:rPr>
        <w:t xml:space="preserve">2. </w:t>
      </w:r>
      <w:r w:rsidR="00476998" w:rsidRPr="0073029B">
        <w:rPr>
          <w:rFonts w:cs="Tahoma"/>
        </w:rPr>
        <w:t>Metas de intervenciones públicas</w:t>
      </w:r>
      <w:bookmarkEnd w:id="18"/>
      <w:r w:rsidR="00476998" w:rsidRPr="0073029B">
        <w:rPr>
          <w:rFonts w:cs="Tahoma"/>
        </w:rPr>
        <w:t xml:space="preserve"> </w:t>
      </w:r>
    </w:p>
    <w:p w14:paraId="76181245" w14:textId="2E8F24EB" w:rsidR="00612BA2" w:rsidRPr="00874F5E" w:rsidRDefault="001A691A" w:rsidP="00612BA2">
      <w:pPr>
        <w:pStyle w:val="NormalWeb"/>
        <w:spacing w:line="360" w:lineRule="auto"/>
        <w:jc w:val="both"/>
        <w:rPr>
          <w:rFonts w:ascii="Tahoma" w:hAnsi="Tahoma" w:cs="Tahoma"/>
          <w:sz w:val="22"/>
          <w:szCs w:val="22"/>
        </w:rPr>
      </w:pPr>
      <w:r w:rsidRPr="008E3CEF">
        <w:rPr>
          <w:rFonts w:ascii="Tahoma" w:hAnsi="Tahoma" w:cs="Tahoma"/>
          <w:sz w:val="22"/>
          <w:szCs w:val="22"/>
        </w:rPr>
        <w:t xml:space="preserve">A continuación, se presentan los resultados de los indicadores de </w:t>
      </w:r>
      <w:r w:rsidR="00874F5E">
        <w:rPr>
          <w:rFonts w:ascii="Tahoma" w:hAnsi="Tahoma" w:cs="Tahoma"/>
          <w:sz w:val="22"/>
          <w:szCs w:val="22"/>
        </w:rPr>
        <w:t>intervención</w:t>
      </w:r>
      <w:r w:rsidRPr="008E3CEF">
        <w:rPr>
          <w:rFonts w:ascii="Tahoma" w:hAnsi="Tahoma" w:cs="Tahoma"/>
          <w:sz w:val="22"/>
          <w:szCs w:val="22"/>
        </w:rPr>
        <w:t xml:space="preserve"> pública del año 202</w:t>
      </w:r>
      <w:r>
        <w:rPr>
          <w:rFonts w:ascii="Tahoma" w:hAnsi="Tahoma" w:cs="Tahoma"/>
          <w:sz w:val="22"/>
          <w:szCs w:val="22"/>
        </w:rPr>
        <w:t>5</w:t>
      </w:r>
      <w:r w:rsidRPr="008E3CEF">
        <w:rPr>
          <w:rFonts w:ascii="Tahoma" w:hAnsi="Tahoma" w:cs="Tahoma"/>
          <w:sz w:val="22"/>
          <w:szCs w:val="22"/>
        </w:rPr>
        <w:t xml:space="preserve">, en cumplimiento de lo establecido en el </w:t>
      </w:r>
      <w:r w:rsidRPr="008E3CEF">
        <w:rPr>
          <w:rStyle w:val="Textoennegrita"/>
          <w:rFonts w:ascii="Tahoma" w:hAnsi="Tahoma" w:cs="Tahoma"/>
          <w:b w:val="0"/>
          <w:sz w:val="22"/>
          <w:szCs w:val="22"/>
        </w:rPr>
        <w:t>"Lineamiento Metodológico - Insumos para elaborar el seguimiento del Plan Nacional de Desarrollo y de Inversión Pública (PNDIP) 2023-2026"</w:t>
      </w:r>
      <w:r w:rsidRPr="008E3CEF">
        <w:rPr>
          <w:rFonts w:ascii="Tahoma" w:hAnsi="Tahoma" w:cs="Tahoma"/>
          <w:sz w:val="22"/>
          <w:szCs w:val="22"/>
        </w:rPr>
        <w:t>, elaborado por el Ministerio de Planificación Nacional y Política Económica (</w:t>
      </w:r>
      <w:proofErr w:type="spellStart"/>
      <w:r w:rsidRPr="008E3CEF">
        <w:rPr>
          <w:rFonts w:ascii="Tahoma" w:hAnsi="Tahoma" w:cs="Tahoma"/>
          <w:sz w:val="22"/>
          <w:szCs w:val="22"/>
        </w:rPr>
        <w:t>M</w:t>
      </w:r>
      <w:r w:rsidR="00874F5E">
        <w:rPr>
          <w:rFonts w:ascii="Tahoma" w:hAnsi="Tahoma" w:cs="Tahoma"/>
          <w:sz w:val="22"/>
          <w:szCs w:val="22"/>
        </w:rPr>
        <w:t>ideplan</w:t>
      </w:r>
      <w:proofErr w:type="spellEnd"/>
      <w:r w:rsidRPr="008E3CEF">
        <w:rPr>
          <w:rFonts w:ascii="Tahoma" w:hAnsi="Tahoma" w:cs="Tahoma"/>
          <w:sz w:val="22"/>
          <w:szCs w:val="22"/>
        </w:rPr>
        <w:t>)</w:t>
      </w:r>
      <w:r w:rsidR="00FF0BAD" w:rsidRPr="0073029B">
        <w:rPr>
          <w:rFonts w:ascii="Tahoma" w:hAnsi="Tahoma" w:cs="Tahoma"/>
          <w:sz w:val="22"/>
          <w:szCs w:val="22"/>
          <w:lang w:val="es-ES"/>
        </w:rPr>
        <w:t xml:space="preserve">: </w:t>
      </w:r>
    </w:p>
    <w:p w14:paraId="1481D116" w14:textId="77777777" w:rsidR="00612BA2" w:rsidRPr="0073029B" w:rsidRDefault="00612BA2" w:rsidP="00612BA2">
      <w:pPr>
        <w:pStyle w:val="Ttulo2"/>
        <w:rPr>
          <w:rFonts w:cs="Tahoma"/>
        </w:rPr>
      </w:pPr>
      <w:bookmarkStart w:id="19" w:name="_Toc189055691"/>
      <w:bookmarkStart w:id="20" w:name="_Toc203738408"/>
      <w:bookmarkStart w:id="21" w:name="_Toc220401616"/>
      <w:r w:rsidRPr="0073029B">
        <w:rPr>
          <w:rStyle w:val="Textoennegrita"/>
          <w:rFonts w:cs="Tahoma"/>
          <w:b/>
          <w:bCs w:val="0"/>
        </w:rPr>
        <w:t>2.1. Información incluida en las matrices de seguimiento:</w:t>
      </w:r>
      <w:bookmarkEnd w:id="19"/>
      <w:bookmarkEnd w:id="20"/>
      <w:bookmarkEnd w:id="21"/>
    </w:p>
    <w:p w14:paraId="3A6425EA" w14:textId="77777777" w:rsidR="006E5C10" w:rsidRPr="006E5C10" w:rsidRDefault="006E5C10" w:rsidP="006E5C10">
      <w:pPr>
        <w:numPr>
          <w:ilvl w:val="0"/>
          <w:numId w:val="1"/>
        </w:numPr>
        <w:tabs>
          <w:tab w:val="clear" w:pos="786"/>
          <w:tab w:val="num" w:pos="709"/>
        </w:tabs>
        <w:spacing w:before="100" w:beforeAutospacing="1" w:after="100" w:afterAutospacing="1" w:line="360" w:lineRule="auto"/>
        <w:jc w:val="both"/>
        <w:rPr>
          <w:rFonts w:cs="Tahoma"/>
          <w:sz w:val="22"/>
        </w:rPr>
      </w:pPr>
      <w:bookmarkStart w:id="22" w:name="_Toc189055692"/>
      <w:bookmarkStart w:id="23" w:name="_Toc203738409"/>
      <w:r w:rsidRPr="006E5C10">
        <w:rPr>
          <w:rStyle w:val="Textoennegrita"/>
          <w:rFonts w:cs="Tahoma"/>
          <w:b w:val="0"/>
          <w:sz w:val="22"/>
        </w:rPr>
        <w:t>Avance de la meta:</w:t>
      </w:r>
      <w:r w:rsidRPr="006E5C10">
        <w:rPr>
          <w:rFonts w:cs="Tahoma"/>
          <w:sz w:val="22"/>
        </w:rPr>
        <w:t xml:space="preserve"> Se reporta el cumplimiento de cada meta según la ficha del indicador.</w:t>
      </w:r>
    </w:p>
    <w:p w14:paraId="2F0F643D" w14:textId="77777777" w:rsidR="006E5C10" w:rsidRPr="006E5C10" w:rsidRDefault="006E5C10" w:rsidP="006E5C10">
      <w:pPr>
        <w:numPr>
          <w:ilvl w:val="0"/>
          <w:numId w:val="1"/>
        </w:numPr>
        <w:tabs>
          <w:tab w:val="clear" w:pos="786"/>
          <w:tab w:val="num" w:pos="709"/>
        </w:tabs>
        <w:spacing w:before="100" w:beforeAutospacing="1" w:after="100" w:afterAutospacing="1" w:line="360" w:lineRule="auto"/>
        <w:jc w:val="both"/>
        <w:rPr>
          <w:rFonts w:cs="Tahoma"/>
          <w:sz w:val="22"/>
        </w:rPr>
      </w:pPr>
      <w:r w:rsidRPr="006E5C10">
        <w:rPr>
          <w:rStyle w:val="Textoennegrita"/>
          <w:rFonts w:cs="Tahoma"/>
          <w:b w:val="0"/>
          <w:sz w:val="22"/>
        </w:rPr>
        <w:t>Porcentaje de avance:</w:t>
      </w:r>
      <w:r w:rsidRPr="006E5C10">
        <w:rPr>
          <w:rFonts w:cs="Tahoma"/>
          <w:sz w:val="22"/>
        </w:rPr>
        <w:t xml:space="preserve"> Se calcula como </w:t>
      </w:r>
      <w:r w:rsidRPr="006E5C10">
        <w:rPr>
          <w:rStyle w:val="Textoennegrita"/>
          <w:rFonts w:cs="Tahoma"/>
          <w:b w:val="0"/>
          <w:sz w:val="22"/>
        </w:rPr>
        <w:t>(avance absoluto/meta programada) * 100</w:t>
      </w:r>
      <w:r w:rsidRPr="006E5C10">
        <w:rPr>
          <w:rFonts w:cs="Tahoma"/>
          <w:sz w:val="22"/>
        </w:rPr>
        <w:t>.</w:t>
      </w:r>
    </w:p>
    <w:p w14:paraId="7C855704" w14:textId="77777777" w:rsidR="006E5C10" w:rsidRPr="006E5C10" w:rsidRDefault="006E5C10" w:rsidP="006E5C10">
      <w:pPr>
        <w:numPr>
          <w:ilvl w:val="0"/>
          <w:numId w:val="1"/>
        </w:numPr>
        <w:tabs>
          <w:tab w:val="clear" w:pos="786"/>
          <w:tab w:val="num" w:pos="709"/>
        </w:tabs>
        <w:spacing w:before="100" w:beforeAutospacing="1" w:after="100" w:afterAutospacing="1" w:line="360" w:lineRule="auto"/>
        <w:jc w:val="both"/>
        <w:rPr>
          <w:rFonts w:cs="Tahoma"/>
          <w:sz w:val="22"/>
        </w:rPr>
      </w:pPr>
      <w:r w:rsidRPr="006E5C10">
        <w:rPr>
          <w:rStyle w:val="Textoennegrita"/>
          <w:rFonts w:cs="Tahoma"/>
          <w:b w:val="0"/>
          <w:sz w:val="22"/>
        </w:rPr>
        <w:t>Presupuesto programado:</w:t>
      </w:r>
      <w:r w:rsidRPr="006E5C10">
        <w:rPr>
          <w:rFonts w:cs="Tahoma"/>
          <w:sz w:val="22"/>
        </w:rPr>
        <w:t xml:space="preserve"> Monto asignado para la ejecución anual, expresado en colones.</w:t>
      </w:r>
    </w:p>
    <w:p w14:paraId="22683302" w14:textId="77777777" w:rsidR="006E5C10" w:rsidRPr="006E5C10" w:rsidRDefault="006E5C10" w:rsidP="006E5C10">
      <w:pPr>
        <w:numPr>
          <w:ilvl w:val="0"/>
          <w:numId w:val="1"/>
        </w:numPr>
        <w:tabs>
          <w:tab w:val="clear" w:pos="786"/>
          <w:tab w:val="num" w:pos="709"/>
        </w:tabs>
        <w:spacing w:before="100" w:beforeAutospacing="1" w:after="100" w:afterAutospacing="1" w:line="360" w:lineRule="auto"/>
        <w:jc w:val="both"/>
        <w:rPr>
          <w:rFonts w:cs="Tahoma"/>
          <w:sz w:val="22"/>
        </w:rPr>
      </w:pPr>
      <w:r w:rsidRPr="006E5C10">
        <w:rPr>
          <w:rStyle w:val="Textoennegrita"/>
          <w:rFonts w:cs="Tahoma"/>
          <w:b w:val="0"/>
          <w:sz w:val="22"/>
        </w:rPr>
        <w:t>Monto ejecutado:</w:t>
      </w:r>
      <w:r w:rsidRPr="006E5C10">
        <w:rPr>
          <w:rFonts w:cs="Tahoma"/>
          <w:sz w:val="22"/>
        </w:rPr>
        <w:t xml:space="preserve"> Total de recursos utilizados durante el año, expresado en colones.</w:t>
      </w:r>
    </w:p>
    <w:p w14:paraId="1279A5A0" w14:textId="77777777" w:rsidR="006E5C10" w:rsidRPr="006E5C10" w:rsidRDefault="006E5C10" w:rsidP="006E5C10">
      <w:pPr>
        <w:numPr>
          <w:ilvl w:val="0"/>
          <w:numId w:val="1"/>
        </w:numPr>
        <w:tabs>
          <w:tab w:val="clear" w:pos="786"/>
          <w:tab w:val="num" w:pos="709"/>
        </w:tabs>
        <w:spacing w:before="100" w:beforeAutospacing="1" w:after="100" w:afterAutospacing="1" w:line="360" w:lineRule="auto"/>
        <w:jc w:val="both"/>
        <w:rPr>
          <w:rFonts w:cs="Tahoma"/>
          <w:sz w:val="22"/>
        </w:rPr>
      </w:pPr>
      <w:r w:rsidRPr="006E5C10">
        <w:rPr>
          <w:rStyle w:val="Textoennegrita"/>
          <w:rFonts w:cs="Tahoma"/>
          <w:b w:val="0"/>
          <w:sz w:val="22"/>
        </w:rPr>
        <w:t>Análisis cualitativo del cumplimiento presupuestario:</w:t>
      </w:r>
    </w:p>
    <w:p w14:paraId="5FD3B30E" w14:textId="77777777" w:rsidR="006E5C10" w:rsidRPr="006E5C10" w:rsidRDefault="006E5C10" w:rsidP="006E5C10">
      <w:pPr>
        <w:numPr>
          <w:ilvl w:val="1"/>
          <w:numId w:val="1"/>
        </w:numPr>
        <w:spacing w:before="100" w:beforeAutospacing="1" w:after="100" w:afterAutospacing="1" w:line="360" w:lineRule="auto"/>
        <w:jc w:val="both"/>
        <w:rPr>
          <w:rFonts w:cs="Tahoma"/>
          <w:sz w:val="22"/>
        </w:rPr>
      </w:pPr>
      <w:r w:rsidRPr="006E5C10">
        <w:rPr>
          <w:rStyle w:val="Textoennegrita"/>
          <w:rFonts w:cs="Tahoma"/>
          <w:b w:val="0"/>
          <w:sz w:val="22"/>
        </w:rPr>
        <w:t>Sobre ejecución:</w:t>
      </w:r>
      <w:r w:rsidRPr="006E5C10">
        <w:rPr>
          <w:rFonts w:cs="Tahoma"/>
          <w:sz w:val="22"/>
        </w:rPr>
        <w:t xml:space="preserve"> Identificación de los factores que generaron un mayor uso de los recursos financieros.</w:t>
      </w:r>
    </w:p>
    <w:p w14:paraId="5789084F" w14:textId="77777777" w:rsidR="006E5C10" w:rsidRPr="006E5C10" w:rsidRDefault="006E5C10" w:rsidP="006E5C10">
      <w:pPr>
        <w:numPr>
          <w:ilvl w:val="1"/>
          <w:numId w:val="1"/>
        </w:numPr>
        <w:spacing w:before="100" w:beforeAutospacing="1" w:after="100" w:afterAutospacing="1" w:line="360" w:lineRule="auto"/>
        <w:jc w:val="both"/>
        <w:rPr>
          <w:rFonts w:cs="Tahoma"/>
          <w:sz w:val="22"/>
        </w:rPr>
      </w:pPr>
      <w:r w:rsidRPr="006E5C10">
        <w:rPr>
          <w:rStyle w:val="Textoennegrita"/>
          <w:rFonts w:cs="Tahoma"/>
          <w:b w:val="0"/>
          <w:sz w:val="22"/>
        </w:rPr>
        <w:t>Sub ejecución:</w:t>
      </w:r>
      <w:r w:rsidRPr="006E5C10">
        <w:rPr>
          <w:rFonts w:cs="Tahoma"/>
          <w:sz w:val="22"/>
        </w:rPr>
        <w:t xml:space="preserve"> Identificación de las limitaciones presupuestarias que impidieron la ejecución total de los recursos.</w:t>
      </w:r>
    </w:p>
    <w:p w14:paraId="3F10B1F0" w14:textId="77777777" w:rsidR="006E5C10" w:rsidRPr="006E5C10" w:rsidRDefault="006E5C10" w:rsidP="006E5C10">
      <w:pPr>
        <w:numPr>
          <w:ilvl w:val="1"/>
          <w:numId w:val="1"/>
        </w:numPr>
        <w:spacing w:before="100" w:beforeAutospacing="1" w:after="100" w:afterAutospacing="1" w:line="360" w:lineRule="auto"/>
        <w:jc w:val="both"/>
        <w:rPr>
          <w:rFonts w:cs="Tahoma"/>
          <w:sz w:val="22"/>
        </w:rPr>
      </w:pPr>
      <w:r w:rsidRPr="006E5C10">
        <w:rPr>
          <w:rStyle w:val="Textoennegrita"/>
          <w:rFonts w:cs="Tahoma"/>
          <w:b w:val="0"/>
          <w:sz w:val="22"/>
        </w:rPr>
        <w:t>Sin ejecución presupuestaria:</w:t>
      </w:r>
      <w:r w:rsidRPr="006E5C10">
        <w:rPr>
          <w:rFonts w:cs="Tahoma"/>
          <w:sz w:val="22"/>
        </w:rPr>
        <w:t xml:space="preserve"> Factores que incidieron en la no ejecución del presupuesto.</w:t>
      </w:r>
    </w:p>
    <w:p w14:paraId="4276480B" w14:textId="07011778" w:rsidR="00612BA2" w:rsidRPr="0073029B" w:rsidRDefault="00612BA2" w:rsidP="00612BA2">
      <w:pPr>
        <w:pStyle w:val="Ttulo2"/>
        <w:rPr>
          <w:rFonts w:cs="Tahoma"/>
        </w:rPr>
      </w:pPr>
      <w:bookmarkStart w:id="24" w:name="_Toc220401617"/>
      <w:r w:rsidRPr="0073029B">
        <w:rPr>
          <w:rStyle w:val="Textoennegrita"/>
          <w:rFonts w:cs="Tahoma"/>
          <w:b/>
          <w:bCs w:val="0"/>
        </w:rPr>
        <w:t xml:space="preserve">2.2. </w:t>
      </w:r>
      <w:r w:rsidR="006F4C06" w:rsidRPr="00B16311">
        <w:rPr>
          <w:rStyle w:val="Textoennegrita"/>
          <w:b/>
          <w:bCs w:val="0"/>
        </w:rPr>
        <w:t>Clasificación del Cumplimiento</w:t>
      </w:r>
      <w:r w:rsidRPr="0073029B">
        <w:rPr>
          <w:rStyle w:val="Textoennegrita"/>
          <w:rFonts w:cs="Tahoma"/>
          <w:b/>
          <w:bCs w:val="0"/>
        </w:rPr>
        <w:t>:</w:t>
      </w:r>
      <w:bookmarkEnd w:id="22"/>
      <w:bookmarkEnd w:id="23"/>
      <w:bookmarkEnd w:id="24"/>
    </w:p>
    <w:p w14:paraId="4EB69387" w14:textId="059BF42A" w:rsidR="00612BA2" w:rsidRPr="0073029B" w:rsidRDefault="00F858A1" w:rsidP="00612BA2">
      <w:pPr>
        <w:pStyle w:val="NormalWeb"/>
        <w:spacing w:line="360" w:lineRule="auto"/>
        <w:jc w:val="both"/>
        <w:rPr>
          <w:rFonts w:ascii="Tahoma" w:hAnsi="Tahoma" w:cs="Tahoma"/>
          <w:sz w:val="22"/>
          <w:szCs w:val="22"/>
        </w:rPr>
      </w:pPr>
      <w:r w:rsidRPr="008E3CEF">
        <w:rPr>
          <w:rFonts w:ascii="Tahoma" w:hAnsi="Tahoma" w:cs="Tahoma"/>
          <w:sz w:val="22"/>
          <w:szCs w:val="22"/>
        </w:rPr>
        <w:t>El nivel de cumplimiento de cada meta se determina según los siguientes criterios</w:t>
      </w:r>
      <w:r w:rsidR="00612BA2" w:rsidRPr="0073029B">
        <w:rPr>
          <w:rFonts w:ascii="Tahoma" w:hAnsi="Tahoma" w:cs="Tahoma"/>
          <w:sz w:val="22"/>
          <w:szCs w:val="22"/>
        </w:rPr>
        <w:t>:</w:t>
      </w:r>
    </w:p>
    <w:p w14:paraId="4D469176" w14:textId="3AF5F35A" w:rsidR="00612BA2" w:rsidRPr="0073029B" w:rsidRDefault="00BF6ED3" w:rsidP="00612BA2">
      <w:pPr>
        <w:pStyle w:val="NormalWeb"/>
        <w:spacing w:line="360" w:lineRule="auto"/>
        <w:jc w:val="center"/>
        <w:rPr>
          <w:rFonts w:ascii="Tahoma" w:hAnsi="Tahoma" w:cs="Tahoma"/>
          <w:sz w:val="22"/>
          <w:szCs w:val="22"/>
        </w:rPr>
      </w:pPr>
      <w:r w:rsidRPr="00BF6ED3">
        <w:rPr>
          <w:rFonts w:ascii="Tahoma" w:hAnsi="Tahoma" w:cs="Tahoma"/>
          <w:noProof/>
          <w:sz w:val="22"/>
          <w:szCs w:val="22"/>
        </w:rPr>
        <w:lastRenderedPageBreak/>
        <w:drawing>
          <wp:inline distT="0" distB="0" distL="0" distR="0" wp14:anchorId="3157F967" wp14:editId="381FD9B3">
            <wp:extent cx="3734275" cy="24579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6185" cy="2465746"/>
                    </a:xfrm>
                    <a:prstGeom prst="rect">
                      <a:avLst/>
                    </a:prstGeom>
                    <a:noFill/>
                    <a:ln>
                      <a:noFill/>
                    </a:ln>
                  </pic:spPr>
                </pic:pic>
              </a:graphicData>
            </a:graphic>
          </wp:inline>
        </w:drawing>
      </w:r>
    </w:p>
    <w:p w14:paraId="27473988" w14:textId="77777777" w:rsidR="00612BA2" w:rsidRPr="0073029B" w:rsidRDefault="00612BA2" w:rsidP="00612BA2">
      <w:pPr>
        <w:pStyle w:val="Ttulo2"/>
        <w:rPr>
          <w:rFonts w:cs="Tahoma"/>
        </w:rPr>
      </w:pPr>
      <w:bookmarkStart w:id="25" w:name="_Toc189055693"/>
      <w:bookmarkStart w:id="26" w:name="_Toc203738410"/>
      <w:bookmarkStart w:id="27" w:name="_Toc220401618"/>
      <w:r w:rsidRPr="0073029B">
        <w:rPr>
          <w:rStyle w:val="Textoennegrita"/>
          <w:rFonts w:cs="Tahoma"/>
          <w:b/>
          <w:bCs w:val="0"/>
        </w:rPr>
        <w:t>2.3. Análisis de avance:</w:t>
      </w:r>
      <w:bookmarkEnd w:id="25"/>
      <w:bookmarkEnd w:id="26"/>
      <w:bookmarkEnd w:id="27"/>
    </w:p>
    <w:p w14:paraId="7276CBD4" w14:textId="77777777" w:rsidR="00612BA2" w:rsidRPr="0073029B" w:rsidRDefault="00612BA2" w:rsidP="00F32094">
      <w:pPr>
        <w:pStyle w:val="NormalWeb"/>
        <w:numPr>
          <w:ilvl w:val="0"/>
          <w:numId w:val="3"/>
        </w:numPr>
        <w:spacing w:line="360" w:lineRule="auto"/>
        <w:jc w:val="both"/>
        <w:rPr>
          <w:rFonts w:ascii="Tahoma" w:hAnsi="Tahoma" w:cs="Tahoma"/>
          <w:sz w:val="22"/>
          <w:szCs w:val="22"/>
        </w:rPr>
      </w:pPr>
      <w:r w:rsidRPr="0073029B">
        <w:rPr>
          <w:rStyle w:val="Textoennegrita"/>
          <w:rFonts w:ascii="Tahoma" w:hAnsi="Tahoma" w:cs="Tahoma"/>
          <w:b w:val="0"/>
          <w:sz w:val="22"/>
          <w:szCs w:val="22"/>
        </w:rPr>
        <w:t>Logros alcanzados (aplica solo para la auto clasificación "De acuerdo con lo programado"):</w:t>
      </w:r>
    </w:p>
    <w:p w14:paraId="52767169" w14:textId="77777777" w:rsidR="00612BA2" w:rsidRPr="0073029B" w:rsidRDefault="00612BA2" w:rsidP="00F32094">
      <w:pPr>
        <w:numPr>
          <w:ilvl w:val="1"/>
          <w:numId w:val="2"/>
        </w:numPr>
        <w:spacing w:before="100" w:beforeAutospacing="1" w:after="100" w:afterAutospacing="1" w:line="360" w:lineRule="auto"/>
        <w:jc w:val="both"/>
        <w:rPr>
          <w:rFonts w:cs="Tahoma"/>
          <w:sz w:val="22"/>
        </w:rPr>
      </w:pPr>
      <w:r w:rsidRPr="0073029B">
        <w:rPr>
          <w:rFonts w:cs="Tahoma"/>
          <w:sz w:val="22"/>
        </w:rPr>
        <w:t xml:space="preserve">Redacción basada en el enfoque de </w:t>
      </w:r>
      <w:r w:rsidRPr="0073029B">
        <w:rPr>
          <w:rStyle w:val="Textoennegrita"/>
          <w:rFonts w:cs="Tahoma"/>
          <w:b w:val="0"/>
          <w:sz w:val="22"/>
        </w:rPr>
        <w:t>Gestión para Resultados en el Desarrollo (</w:t>
      </w:r>
      <w:proofErr w:type="spellStart"/>
      <w:r w:rsidRPr="0073029B">
        <w:rPr>
          <w:rStyle w:val="Textoennegrita"/>
          <w:rFonts w:cs="Tahoma"/>
          <w:b w:val="0"/>
          <w:sz w:val="22"/>
        </w:rPr>
        <w:t>GpRD</w:t>
      </w:r>
      <w:proofErr w:type="spellEnd"/>
      <w:r w:rsidRPr="0073029B">
        <w:rPr>
          <w:rStyle w:val="Textoennegrita"/>
          <w:rFonts w:cs="Tahoma"/>
          <w:b w:val="0"/>
          <w:sz w:val="22"/>
        </w:rPr>
        <w:t>)</w:t>
      </w:r>
      <w:r w:rsidRPr="0073029B">
        <w:rPr>
          <w:rFonts w:cs="Tahoma"/>
          <w:sz w:val="22"/>
        </w:rPr>
        <w:t>.</w:t>
      </w:r>
    </w:p>
    <w:p w14:paraId="24E9AA7A" w14:textId="77777777" w:rsidR="00612BA2" w:rsidRDefault="00612BA2" w:rsidP="00F32094">
      <w:pPr>
        <w:numPr>
          <w:ilvl w:val="1"/>
          <w:numId w:val="2"/>
        </w:numPr>
        <w:spacing w:before="100" w:beforeAutospacing="1" w:after="100" w:afterAutospacing="1" w:line="360" w:lineRule="auto"/>
        <w:jc w:val="both"/>
        <w:rPr>
          <w:rFonts w:cs="Tahoma"/>
          <w:sz w:val="22"/>
        </w:rPr>
      </w:pPr>
      <w:r w:rsidRPr="0073029B">
        <w:rPr>
          <w:rFonts w:cs="Tahoma"/>
          <w:sz w:val="22"/>
        </w:rPr>
        <w:t>Descripción del valor público generado a partir del avance de la meta.</w:t>
      </w:r>
    </w:p>
    <w:p w14:paraId="25D4654B" w14:textId="77777777" w:rsidR="005132CA" w:rsidRPr="005132CA" w:rsidRDefault="005132CA" w:rsidP="005132CA">
      <w:pPr>
        <w:pStyle w:val="Prrafodelista"/>
        <w:numPr>
          <w:ilvl w:val="1"/>
          <w:numId w:val="2"/>
        </w:numPr>
        <w:rPr>
          <w:rFonts w:cs="Tahoma"/>
          <w:sz w:val="22"/>
        </w:rPr>
      </w:pPr>
      <w:r w:rsidRPr="005132CA">
        <w:rPr>
          <w:rFonts w:cs="Tahoma"/>
          <w:sz w:val="22"/>
        </w:rPr>
        <w:t>En caso de superar el 125% de cumplimiento, se detallan los factores que contribuyeron a este resultado.</w:t>
      </w:r>
    </w:p>
    <w:p w14:paraId="0CE5D1A0" w14:textId="070317EA" w:rsidR="00AD34F7" w:rsidRPr="00AD34F7" w:rsidRDefault="00AD34F7" w:rsidP="00AD34F7">
      <w:pPr>
        <w:pStyle w:val="NormalWeb"/>
        <w:numPr>
          <w:ilvl w:val="0"/>
          <w:numId w:val="4"/>
        </w:numPr>
        <w:spacing w:line="360" w:lineRule="auto"/>
        <w:jc w:val="both"/>
        <w:rPr>
          <w:rFonts w:ascii="Tahoma" w:hAnsi="Tahoma" w:cs="Tahoma"/>
          <w:sz w:val="22"/>
          <w:szCs w:val="22"/>
        </w:rPr>
      </w:pPr>
      <w:bookmarkStart w:id="28" w:name="_Toc203738411"/>
      <w:r w:rsidRPr="00AD34F7">
        <w:rPr>
          <w:rStyle w:val="Textoennegrita"/>
          <w:rFonts w:ascii="Tahoma" w:hAnsi="Tahoma" w:cs="Tahoma"/>
          <w:b w:val="0"/>
          <w:sz w:val="22"/>
          <w:szCs w:val="22"/>
        </w:rPr>
        <w:t>Factores que obstaculiza</w:t>
      </w:r>
      <w:r>
        <w:rPr>
          <w:rStyle w:val="Textoennegrita"/>
          <w:rFonts w:ascii="Tahoma" w:hAnsi="Tahoma" w:cs="Tahoma"/>
          <w:b w:val="0"/>
          <w:sz w:val="22"/>
          <w:szCs w:val="22"/>
        </w:rPr>
        <w:t>ron</w:t>
      </w:r>
      <w:r w:rsidRPr="00AD34F7">
        <w:rPr>
          <w:rStyle w:val="Textoennegrita"/>
          <w:rFonts w:ascii="Tahoma" w:hAnsi="Tahoma" w:cs="Tahoma"/>
          <w:b w:val="0"/>
          <w:sz w:val="22"/>
          <w:szCs w:val="22"/>
        </w:rPr>
        <w:t xml:space="preserve"> la ejecución (aplica para "Cumplimiento medio" y "Cumplimiento bajo"):</w:t>
      </w:r>
    </w:p>
    <w:p w14:paraId="67A79727" w14:textId="6DCBE050" w:rsidR="00AD34F7" w:rsidRPr="00AD34F7" w:rsidRDefault="00AD34F7" w:rsidP="00AD34F7">
      <w:pPr>
        <w:numPr>
          <w:ilvl w:val="1"/>
          <w:numId w:val="2"/>
        </w:numPr>
        <w:spacing w:before="100" w:beforeAutospacing="1" w:after="100" w:afterAutospacing="1" w:line="360" w:lineRule="auto"/>
        <w:jc w:val="both"/>
        <w:rPr>
          <w:rFonts w:cs="Tahoma"/>
          <w:sz w:val="22"/>
        </w:rPr>
      </w:pPr>
      <w:r w:rsidRPr="00AD34F7">
        <w:rPr>
          <w:rFonts w:cs="Tahoma"/>
          <w:sz w:val="22"/>
        </w:rPr>
        <w:t>Identificación de situaciones que afectaron el logro de la meta (ej. falta de recursos, problemas legales, crisis económicas, desastres naturales, entre otros)</w:t>
      </w:r>
      <w:r>
        <w:rPr>
          <w:rFonts w:cs="Tahoma"/>
          <w:sz w:val="22"/>
        </w:rPr>
        <w:t xml:space="preserve"> y los riesgos asociados.</w:t>
      </w:r>
    </w:p>
    <w:p w14:paraId="235E9D91" w14:textId="77777777" w:rsidR="00AD34F7" w:rsidRPr="00AD34F7" w:rsidRDefault="00AD34F7" w:rsidP="00AD34F7">
      <w:pPr>
        <w:numPr>
          <w:ilvl w:val="1"/>
          <w:numId w:val="2"/>
        </w:numPr>
        <w:spacing w:before="100" w:beforeAutospacing="1" w:after="100" w:afterAutospacing="1" w:line="360" w:lineRule="auto"/>
        <w:jc w:val="both"/>
        <w:rPr>
          <w:rFonts w:cs="Tahoma"/>
          <w:sz w:val="22"/>
        </w:rPr>
      </w:pPr>
      <w:r w:rsidRPr="00AD34F7">
        <w:rPr>
          <w:rFonts w:cs="Tahoma"/>
          <w:sz w:val="22"/>
        </w:rPr>
        <w:t xml:space="preserve">Registro de </w:t>
      </w:r>
      <w:r w:rsidRPr="00AD34F7">
        <w:rPr>
          <w:rStyle w:val="Textoennegrita"/>
          <w:rFonts w:cs="Tahoma"/>
          <w:b w:val="0"/>
          <w:sz w:val="22"/>
        </w:rPr>
        <w:t>lecciones aprendidas</w:t>
      </w:r>
      <w:r w:rsidRPr="00AD34F7">
        <w:rPr>
          <w:rFonts w:cs="Tahoma"/>
          <w:sz w:val="22"/>
        </w:rPr>
        <w:t xml:space="preserve"> obtenidas durante la ejecución, con el fin de mejorar futuras intervenciones y evitar la repetición de problemas.</w:t>
      </w:r>
    </w:p>
    <w:p w14:paraId="7FCF9AD0" w14:textId="7ADAA989" w:rsidR="00AD34F7" w:rsidRDefault="00AD34F7" w:rsidP="00AD34F7">
      <w:pPr>
        <w:pStyle w:val="NormalWeb"/>
        <w:spacing w:line="360" w:lineRule="auto"/>
        <w:jc w:val="both"/>
        <w:rPr>
          <w:rFonts w:ascii="Tahoma" w:hAnsi="Tahoma" w:cs="Tahoma"/>
          <w:sz w:val="22"/>
          <w:szCs w:val="22"/>
        </w:rPr>
        <w:sectPr w:rsidR="00AD34F7" w:rsidSect="00AD34F7">
          <w:footerReference w:type="default" r:id="rId21"/>
          <w:pgSz w:w="12242" w:h="15842" w:code="1"/>
          <w:pgMar w:top="1418" w:right="1418" w:bottom="1418" w:left="1491" w:header="567" w:footer="567" w:gutter="0"/>
          <w:cols w:space="708"/>
          <w:docGrid w:linePitch="360"/>
        </w:sectPr>
      </w:pPr>
      <w:r w:rsidRPr="00AD34F7">
        <w:rPr>
          <w:rFonts w:ascii="Tahoma" w:hAnsi="Tahoma" w:cs="Tahoma"/>
          <w:sz w:val="22"/>
          <w:szCs w:val="22"/>
        </w:rPr>
        <w:t xml:space="preserve">Este análisis permitirá fortalecer la planificación </w:t>
      </w:r>
      <w:r w:rsidR="001D1D45">
        <w:rPr>
          <w:rFonts w:ascii="Tahoma" w:hAnsi="Tahoma" w:cs="Tahoma"/>
          <w:sz w:val="22"/>
          <w:szCs w:val="22"/>
        </w:rPr>
        <w:t xml:space="preserve">de las intervenciones públicas </w:t>
      </w:r>
      <w:r w:rsidRPr="00AD34F7">
        <w:rPr>
          <w:rFonts w:ascii="Tahoma" w:hAnsi="Tahoma" w:cs="Tahoma"/>
          <w:sz w:val="22"/>
          <w:szCs w:val="22"/>
        </w:rPr>
        <w:t>en los próximos períodos</w:t>
      </w:r>
      <w:r w:rsidR="001D1D45">
        <w:rPr>
          <w:rFonts w:ascii="Tahoma" w:hAnsi="Tahoma" w:cs="Tahoma"/>
          <w:sz w:val="22"/>
          <w:szCs w:val="22"/>
        </w:rPr>
        <w:t xml:space="preserve"> de seguimiento</w:t>
      </w:r>
      <w:r w:rsidRPr="00AD34F7">
        <w:rPr>
          <w:rFonts w:ascii="Tahoma" w:hAnsi="Tahoma" w:cs="Tahoma"/>
          <w:sz w:val="22"/>
          <w:szCs w:val="22"/>
        </w:rPr>
        <w:t>, asegurando un uso eficiente de los recursos y el cumplimiento de los objetivos del PNDIP 2023-2026</w:t>
      </w:r>
      <w:r w:rsidRPr="008E3CEF">
        <w:rPr>
          <w:rFonts w:ascii="Tahoma" w:hAnsi="Tahoma" w:cs="Tahoma"/>
          <w:sz w:val="22"/>
          <w:szCs w:val="22"/>
        </w:rPr>
        <w:t>.</w:t>
      </w:r>
    </w:p>
    <w:p w14:paraId="2685DC64" w14:textId="13FBC846" w:rsidR="00612BA2" w:rsidRPr="0073029B" w:rsidRDefault="00612BA2" w:rsidP="00612BA2">
      <w:pPr>
        <w:pStyle w:val="Ttulo2"/>
        <w:rPr>
          <w:rFonts w:cs="Tahoma"/>
        </w:rPr>
      </w:pPr>
      <w:bookmarkStart w:id="29" w:name="_Toc220401619"/>
      <w:r w:rsidRPr="0032678E">
        <w:rPr>
          <w:rFonts w:cs="Tahoma"/>
          <w:szCs w:val="22"/>
        </w:rPr>
        <w:lastRenderedPageBreak/>
        <w:t xml:space="preserve">2.4 Resumen de </w:t>
      </w:r>
      <w:r w:rsidR="003F7053" w:rsidRPr="0032678E">
        <w:rPr>
          <w:rFonts w:cs="Tahoma"/>
        </w:rPr>
        <w:t>resultado</w:t>
      </w:r>
      <w:r w:rsidR="00E00EDD" w:rsidRPr="0032678E">
        <w:rPr>
          <w:rFonts w:cs="Tahoma"/>
        </w:rPr>
        <w:t xml:space="preserve"> anual </w:t>
      </w:r>
      <w:r w:rsidR="004E5E3B" w:rsidRPr="0032678E">
        <w:rPr>
          <w:rFonts w:cs="Tahoma"/>
        </w:rPr>
        <w:t>2025</w:t>
      </w:r>
      <w:r w:rsidRPr="0032678E">
        <w:rPr>
          <w:rFonts w:cs="Tahoma"/>
        </w:rPr>
        <w:t xml:space="preserve"> </w:t>
      </w:r>
      <w:r w:rsidR="004E5E3B" w:rsidRPr="0032678E">
        <w:rPr>
          <w:rFonts w:cs="Tahoma"/>
        </w:rPr>
        <w:t xml:space="preserve">de las metas de intervención </w:t>
      </w:r>
      <w:r w:rsidR="00A348AC" w:rsidRPr="0032678E">
        <w:rPr>
          <w:rFonts w:cs="Tahoma"/>
        </w:rPr>
        <w:t>pública</w:t>
      </w:r>
      <w:r w:rsidR="004E5E3B" w:rsidRPr="0032678E">
        <w:rPr>
          <w:rFonts w:cs="Tahoma"/>
        </w:rPr>
        <w:t xml:space="preserve"> </w:t>
      </w:r>
      <w:r w:rsidRPr="0032678E">
        <w:rPr>
          <w:rFonts w:cs="Tahoma"/>
        </w:rPr>
        <w:t>según</w:t>
      </w:r>
      <w:r w:rsidRPr="0032678E">
        <w:rPr>
          <w:rFonts w:cs="Tahoma"/>
          <w:szCs w:val="22"/>
        </w:rPr>
        <w:t xml:space="preserve"> </w:t>
      </w:r>
      <w:bookmarkEnd w:id="28"/>
      <w:r w:rsidR="004E5E3B" w:rsidRPr="0032678E">
        <w:rPr>
          <w:rFonts w:cs="Tahoma"/>
        </w:rPr>
        <w:t>las categorías de cumplimiento</w:t>
      </w:r>
      <w:bookmarkEnd w:id="29"/>
      <w:r w:rsidR="004E5E3B">
        <w:rPr>
          <w:rFonts w:cs="Tahoma"/>
        </w:rPr>
        <w:t xml:space="preserve"> </w:t>
      </w:r>
    </w:p>
    <w:p w14:paraId="7864A8B0" w14:textId="77777777" w:rsidR="00612BA2" w:rsidRPr="0073029B" w:rsidRDefault="00612BA2" w:rsidP="00612BA2">
      <w:pPr>
        <w:rPr>
          <w:rFonts w:cs="Tahoma"/>
        </w:rPr>
      </w:pPr>
    </w:p>
    <w:tbl>
      <w:tblPr>
        <w:tblStyle w:val="Tablaconcuadrcula"/>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29"/>
        <w:gridCol w:w="2676"/>
        <w:gridCol w:w="901"/>
        <w:gridCol w:w="2316"/>
        <w:gridCol w:w="901"/>
      </w:tblGrid>
      <w:tr w:rsidR="00612BA2" w:rsidRPr="0073029B" w14:paraId="62033C72" w14:textId="77777777" w:rsidTr="004D2834">
        <w:tc>
          <w:tcPr>
            <w:tcW w:w="1357" w:type="pct"/>
            <w:shd w:val="clear" w:color="auto" w:fill="003A70"/>
          </w:tcPr>
          <w:p w14:paraId="48A86943" w14:textId="698D3936" w:rsidR="00612BA2" w:rsidRPr="0073029B" w:rsidRDefault="003F7053" w:rsidP="0032678E">
            <w:pPr>
              <w:spacing w:line="276" w:lineRule="auto"/>
              <w:jc w:val="center"/>
              <w:rPr>
                <w:rFonts w:cs="Tahoma"/>
                <w:b/>
                <w:color w:val="FFFFFF" w:themeColor="background1"/>
                <w:sz w:val="22"/>
              </w:rPr>
            </w:pPr>
            <w:r>
              <w:rPr>
                <w:rFonts w:cs="Tahoma"/>
                <w:b/>
                <w:bCs/>
                <w:color w:val="FFFFFF" w:themeColor="background1"/>
                <w:sz w:val="22"/>
              </w:rPr>
              <w:t>C</w:t>
            </w:r>
            <w:r w:rsidR="00612BA2" w:rsidRPr="0073029B">
              <w:rPr>
                <w:rFonts w:cs="Tahoma"/>
                <w:b/>
                <w:bCs/>
                <w:color w:val="FFFFFF" w:themeColor="background1"/>
                <w:sz w:val="22"/>
              </w:rPr>
              <w:t xml:space="preserve">lasificación de </w:t>
            </w:r>
            <w:r>
              <w:rPr>
                <w:rFonts w:cs="Tahoma"/>
                <w:b/>
                <w:bCs/>
                <w:color w:val="FFFFFF" w:themeColor="background1"/>
                <w:sz w:val="22"/>
              </w:rPr>
              <w:t xml:space="preserve">Cumplimiento </w:t>
            </w:r>
          </w:p>
        </w:tc>
        <w:tc>
          <w:tcPr>
            <w:tcW w:w="1435" w:type="pct"/>
            <w:shd w:val="clear" w:color="auto" w:fill="003A70"/>
          </w:tcPr>
          <w:p w14:paraId="7FDB1CF5" w14:textId="77777777" w:rsidR="00612BA2" w:rsidRPr="0073029B" w:rsidRDefault="00612BA2" w:rsidP="0032678E">
            <w:pPr>
              <w:spacing w:line="276" w:lineRule="auto"/>
              <w:jc w:val="center"/>
              <w:rPr>
                <w:rFonts w:cs="Tahoma"/>
                <w:b/>
                <w:color w:val="FFFFFF" w:themeColor="background1"/>
                <w:sz w:val="22"/>
              </w:rPr>
            </w:pPr>
            <w:r w:rsidRPr="0073029B">
              <w:rPr>
                <w:rFonts w:cs="Tahoma"/>
                <w:b/>
                <w:color w:val="FFFFFF" w:themeColor="background1"/>
                <w:sz w:val="22"/>
              </w:rPr>
              <w:t>Cantidad de metas de Intervención Pública</w:t>
            </w:r>
          </w:p>
        </w:tc>
        <w:tc>
          <w:tcPr>
            <w:tcW w:w="483" w:type="pct"/>
            <w:shd w:val="clear" w:color="auto" w:fill="003A70"/>
          </w:tcPr>
          <w:p w14:paraId="13F2D93E" w14:textId="77777777" w:rsidR="00612BA2" w:rsidRPr="0073029B" w:rsidRDefault="00612BA2" w:rsidP="0032678E">
            <w:pPr>
              <w:spacing w:line="276" w:lineRule="auto"/>
              <w:jc w:val="center"/>
              <w:rPr>
                <w:rFonts w:cs="Tahoma"/>
                <w:b/>
                <w:color w:val="FFFFFF" w:themeColor="background1"/>
                <w:sz w:val="22"/>
              </w:rPr>
            </w:pPr>
            <w:r w:rsidRPr="0073029B">
              <w:rPr>
                <w:rFonts w:cs="Tahoma"/>
                <w:b/>
                <w:color w:val="FFFFFF" w:themeColor="background1"/>
                <w:sz w:val="22"/>
              </w:rPr>
              <w:t>%</w:t>
            </w:r>
          </w:p>
        </w:tc>
        <w:tc>
          <w:tcPr>
            <w:tcW w:w="1242" w:type="pct"/>
            <w:shd w:val="clear" w:color="auto" w:fill="003A70"/>
          </w:tcPr>
          <w:p w14:paraId="6684EB46" w14:textId="77777777" w:rsidR="00612BA2" w:rsidRPr="0073029B" w:rsidRDefault="00612BA2" w:rsidP="0032678E">
            <w:pPr>
              <w:spacing w:line="276" w:lineRule="auto"/>
              <w:jc w:val="center"/>
              <w:rPr>
                <w:rFonts w:cs="Tahoma"/>
                <w:b/>
                <w:color w:val="FFFFFF" w:themeColor="background1"/>
                <w:sz w:val="22"/>
              </w:rPr>
            </w:pPr>
            <w:r w:rsidRPr="0073029B">
              <w:rPr>
                <w:rFonts w:cs="Tahoma"/>
                <w:b/>
                <w:color w:val="FFFFFF" w:themeColor="background1"/>
                <w:sz w:val="22"/>
              </w:rPr>
              <w:t>Cantidad de metas regionales</w:t>
            </w:r>
          </w:p>
        </w:tc>
        <w:tc>
          <w:tcPr>
            <w:tcW w:w="483" w:type="pct"/>
            <w:shd w:val="clear" w:color="auto" w:fill="003A70"/>
          </w:tcPr>
          <w:p w14:paraId="1442CEC6" w14:textId="77777777" w:rsidR="00612BA2" w:rsidRPr="0073029B" w:rsidRDefault="00612BA2" w:rsidP="0032678E">
            <w:pPr>
              <w:spacing w:line="276" w:lineRule="auto"/>
              <w:jc w:val="center"/>
              <w:rPr>
                <w:rFonts w:cs="Tahoma"/>
                <w:b/>
                <w:color w:val="FFFFFF" w:themeColor="background1"/>
                <w:sz w:val="22"/>
              </w:rPr>
            </w:pPr>
            <w:r w:rsidRPr="0073029B">
              <w:rPr>
                <w:rFonts w:cs="Tahoma"/>
                <w:b/>
                <w:color w:val="FFFFFF" w:themeColor="background1"/>
                <w:sz w:val="22"/>
              </w:rPr>
              <w:t>%</w:t>
            </w:r>
          </w:p>
        </w:tc>
      </w:tr>
      <w:tr w:rsidR="00612BA2" w:rsidRPr="0073029B" w14:paraId="2A2E4DEC" w14:textId="77777777" w:rsidTr="004D2834">
        <w:tc>
          <w:tcPr>
            <w:tcW w:w="1357" w:type="pct"/>
            <w:shd w:val="clear" w:color="auto" w:fill="92D050"/>
          </w:tcPr>
          <w:p w14:paraId="3132DC4C" w14:textId="0F85CCE4" w:rsidR="00612BA2" w:rsidRPr="0073029B" w:rsidRDefault="004E5E3B" w:rsidP="0032678E">
            <w:pPr>
              <w:spacing w:line="276" w:lineRule="auto"/>
              <w:jc w:val="both"/>
              <w:rPr>
                <w:rFonts w:cs="Tahoma"/>
                <w:sz w:val="22"/>
              </w:rPr>
            </w:pPr>
            <w:r>
              <w:rPr>
                <w:rFonts w:cs="Tahoma"/>
                <w:sz w:val="22"/>
              </w:rPr>
              <w:t>Cu</w:t>
            </w:r>
            <w:r w:rsidR="00D1211C">
              <w:rPr>
                <w:rFonts w:cs="Tahoma"/>
                <w:sz w:val="22"/>
              </w:rPr>
              <w:t>mplimiento alto</w:t>
            </w:r>
          </w:p>
        </w:tc>
        <w:tc>
          <w:tcPr>
            <w:tcW w:w="1435" w:type="pct"/>
            <w:shd w:val="clear" w:color="auto" w:fill="F2F2F2" w:themeFill="background1" w:themeFillShade="F2"/>
          </w:tcPr>
          <w:p w14:paraId="073A2542" w14:textId="1F8D5D2A" w:rsidR="00612BA2" w:rsidRPr="0073029B" w:rsidRDefault="00F95650" w:rsidP="0032678E">
            <w:pPr>
              <w:spacing w:line="276" w:lineRule="auto"/>
              <w:jc w:val="center"/>
              <w:rPr>
                <w:rFonts w:cs="Tahoma"/>
                <w:sz w:val="22"/>
              </w:rPr>
            </w:pPr>
            <w:r w:rsidRPr="0073029B">
              <w:rPr>
                <w:rFonts w:cs="Tahoma"/>
                <w:sz w:val="22"/>
              </w:rPr>
              <w:t>1</w:t>
            </w:r>
            <w:r w:rsidR="009B4462">
              <w:rPr>
                <w:rFonts w:cs="Tahoma"/>
                <w:sz w:val="22"/>
              </w:rPr>
              <w:t>2</w:t>
            </w:r>
          </w:p>
        </w:tc>
        <w:tc>
          <w:tcPr>
            <w:tcW w:w="483" w:type="pct"/>
            <w:shd w:val="clear" w:color="auto" w:fill="F2F2F2" w:themeFill="background1" w:themeFillShade="F2"/>
          </w:tcPr>
          <w:p w14:paraId="5CB3F9B1" w14:textId="5170F94E" w:rsidR="00612BA2" w:rsidRPr="0073029B" w:rsidRDefault="00583F8B" w:rsidP="0032678E">
            <w:pPr>
              <w:spacing w:line="276" w:lineRule="auto"/>
              <w:jc w:val="right"/>
              <w:rPr>
                <w:rFonts w:cs="Tahoma"/>
                <w:sz w:val="22"/>
              </w:rPr>
            </w:pPr>
            <w:r>
              <w:rPr>
                <w:rFonts w:cs="Tahoma"/>
                <w:sz w:val="22"/>
              </w:rPr>
              <w:t>75</w:t>
            </w:r>
            <w:r w:rsidR="00612BA2" w:rsidRPr="0073029B">
              <w:rPr>
                <w:rFonts w:cs="Tahoma"/>
                <w:sz w:val="22"/>
              </w:rPr>
              <w:t>%</w:t>
            </w:r>
          </w:p>
        </w:tc>
        <w:tc>
          <w:tcPr>
            <w:tcW w:w="1242" w:type="pct"/>
            <w:shd w:val="clear" w:color="auto" w:fill="F2F2F2" w:themeFill="background1" w:themeFillShade="F2"/>
          </w:tcPr>
          <w:p w14:paraId="7F7ED549" w14:textId="70F8D74C" w:rsidR="00612BA2" w:rsidRPr="0073029B" w:rsidRDefault="00583F8B" w:rsidP="0032678E">
            <w:pPr>
              <w:spacing w:line="276" w:lineRule="auto"/>
              <w:jc w:val="center"/>
              <w:rPr>
                <w:rFonts w:cs="Tahoma"/>
                <w:sz w:val="22"/>
              </w:rPr>
            </w:pPr>
            <w:r>
              <w:rPr>
                <w:rFonts w:cs="Tahoma"/>
                <w:sz w:val="22"/>
              </w:rPr>
              <w:t>4</w:t>
            </w:r>
          </w:p>
        </w:tc>
        <w:tc>
          <w:tcPr>
            <w:tcW w:w="483" w:type="pct"/>
            <w:shd w:val="clear" w:color="auto" w:fill="F2F2F2" w:themeFill="background1" w:themeFillShade="F2"/>
          </w:tcPr>
          <w:p w14:paraId="3FC9577E" w14:textId="77777777" w:rsidR="00612BA2" w:rsidRPr="0073029B" w:rsidRDefault="00612BA2" w:rsidP="0032678E">
            <w:pPr>
              <w:spacing w:line="276" w:lineRule="auto"/>
              <w:jc w:val="right"/>
              <w:rPr>
                <w:rFonts w:cs="Tahoma"/>
                <w:sz w:val="22"/>
              </w:rPr>
            </w:pPr>
            <w:r w:rsidRPr="0073029B">
              <w:rPr>
                <w:rFonts w:cs="Tahoma"/>
                <w:sz w:val="22"/>
              </w:rPr>
              <w:t>66,7%</w:t>
            </w:r>
          </w:p>
        </w:tc>
      </w:tr>
      <w:tr w:rsidR="00612BA2" w:rsidRPr="0073029B" w14:paraId="46E2FBA9" w14:textId="77777777" w:rsidTr="004D2834">
        <w:tc>
          <w:tcPr>
            <w:tcW w:w="1357" w:type="pct"/>
            <w:shd w:val="clear" w:color="auto" w:fill="FFFF00"/>
          </w:tcPr>
          <w:p w14:paraId="4D7025B5" w14:textId="120069AC" w:rsidR="00612BA2" w:rsidRPr="0073029B" w:rsidRDefault="00D1211C" w:rsidP="0032678E">
            <w:pPr>
              <w:spacing w:line="276" w:lineRule="auto"/>
              <w:jc w:val="both"/>
              <w:rPr>
                <w:rFonts w:cs="Tahoma"/>
                <w:sz w:val="22"/>
              </w:rPr>
            </w:pPr>
            <w:r>
              <w:rPr>
                <w:rFonts w:cs="Tahoma"/>
                <w:sz w:val="22"/>
              </w:rPr>
              <w:t>Cumplimiento medio</w:t>
            </w:r>
          </w:p>
        </w:tc>
        <w:tc>
          <w:tcPr>
            <w:tcW w:w="1435" w:type="pct"/>
            <w:shd w:val="clear" w:color="auto" w:fill="F2F2F2" w:themeFill="background1" w:themeFillShade="F2"/>
          </w:tcPr>
          <w:p w14:paraId="62637BD3" w14:textId="410D6EBC" w:rsidR="00612BA2" w:rsidRPr="0073029B" w:rsidRDefault="009B4462" w:rsidP="0032678E">
            <w:pPr>
              <w:spacing w:line="276" w:lineRule="auto"/>
              <w:jc w:val="center"/>
              <w:rPr>
                <w:rFonts w:cs="Tahoma"/>
                <w:sz w:val="22"/>
              </w:rPr>
            </w:pPr>
            <w:r>
              <w:rPr>
                <w:rFonts w:cs="Tahoma"/>
                <w:sz w:val="22"/>
              </w:rPr>
              <w:t>4</w:t>
            </w:r>
          </w:p>
        </w:tc>
        <w:tc>
          <w:tcPr>
            <w:tcW w:w="483" w:type="pct"/>
            <w:shd w:val="clear" w:color="auto" w:fill="F2F2F2" w:themeFill="background1" w:themeFillShade="F2"/>
          </w:tcPr>
          <w:p w14:paraId="1D923D26" w14:textId="549D3F9F" w:rsidR="00612BA2" w:rsidRPr="0073029B" w:rsidRDefault="00583F8B" w:rsidP="0032678E">
            <w:pPr>
              <w:spacing w:line="276" w:lineRule="auto"/>
              <w:jc w:val="right"/>
              <w:rPr>
                <w:rFonts w:cs="Tahoma"/>
                <w:sz w:val="22"/>
              </w:rPr>
            </w:pPr>
            <w:r>
              <w:rPr>
                <w:rFonts w:cs="Tahoma"/>
                <w:sz w:val="22"/>
              </w:rPr>
              <w:t>25</w:t>
            </w:r>
            <w:r w:rsidR="00612BA2" w:rsidRPr="0073029B">
              <w:rPr>
                <w:rFonts w:cs="Tahoma"/>
                <w:sz w:val="22"/>
              </w:rPr>
              <w:t>%</w:t>
            </w:r>
          </w:p>
        </w:tc>
        <w:tc>
          <w:tcPr>
            <w:tcW w:w="1242" w:type="pct"/>
            <w:shd w:val="clear" w:color="auto" w:fill="F2F2F2" w:themeFill="background1" w:themeFillShade="F2"/>
          </w:tcPr>
          <w:p w14:paraId="0E409913" w14:textId="77777777" w:rsidR="00612BA2" w:rsidRPr="0073029B" w:rsidRDefault="00612BA2" w:rsidP="0032678E">
            <w:pPr>
              <w:spacing w:line="276" w:lineRule="auto"/>
              <w:jc w:val="center"/>
              <w:rPr>
                <w:rFonts w:cs="Tahoma"/>
                <w:sz w:val="22"/>
              </w:rPr>
            </w:pPr>
            <w:r w:rsidRPr="0073029B">
              <w:rPr>
                <w:rFonts w:cs="Tahoma"/>
                <w:sz w:val="22"/>
              </w:rPr>
              <w:t>2</w:t>
            </w:r>
          </w:p>
        </w:tc>
        <w:tc>
          <w:tcPr>
            <w:tcW w:w="483" w:type="pct"/>
            <w:shd w:val="clear" w:color="auto" w:fill="F2F2F2" w:themeFill="background1" w:themeFillShade="F2"/>
          </w:tcPr>
          <w:p w14:paraId="5F3D1F34" w14:textId="77777777" w:rsidR="00612BA2" w:rsidRPr="0073029B" w:rsidRDefault="00612BA2" w:rsidP="0032678E">
            <w:pPr>
              <w:spacing w:line="276" w:lineRule="auto"/>
              <w:jc w:val="right"/>
              <w:rPr>
                <w:rFonts w:cs="Tahoma"/>
                <w:sz w:val="22"/>
              </w:rPr>
            </w:pPr>
            <w:r w:rsidRPr="0073029B">
              <w:rPr>
                <w:rFonts w:cs="Tahoma"/>
                <w:sz w:val="22"/>
              </w:rPr>
              <w:t>33,3%</w:t>
            </w:r>
          </w:p>
        </w:tc>
      </w:tr>
      <w:tr w:rsidR="00612BA2" w:rsidRPr="0073029B" w14:paraId="3FFA4298" w14:textId="77777777" w:rsidTr="004D2834">
        <w:tc>
          <w:tcPr>
            <w:tcW w:w="1357" w:type="pct"/>
            <w:shd w:val="clear" w:color="auto" w:fill="FF0000"/>
          </w:tcPr>
          <w:p w14:paraId="0CDD6035" w14:textId="650FEF67" w:rsidR="00612BA2" w:rsidRPr="0073029B" w:rsidRDefault="00D1211C" w:rsidP="0032678E">
            <w:pPr>
              <w:spacing w:line="276" w:lineRule="auto"/>
              <w:jc w:val="both"/>
              <w:rPr>
                <w:rFonts w:cs="Tahoma"/>
                <w:sz w:val="22"/>
              </w:rPr>
            </w:pPr>
            <w:r>
              <w:rPr>
                <w:rFonts w:cs="Tahoma"/>
                <w:sz w:val="22"/>
              </w:rPr>
              <w:t>Cumplimiento bajo</w:t>
            </w:r>
          </w:p>
        </w:tc>
        <w:tc>
          <w:tcPr>
            <w:tcW w:w="1435" w:type="pct"/>
            <w:shd w:val="clear" w:color="auto" w:fill="F2F2F2" w:themeFill="background1" w:themeFillShade="F2"/>
          </w:tcPr>
          <w:p w14:paraId="23C0949E" w14:textId="77777777" w:rsidR="00612BA2" w:rsidRPr="0073029B" w:rsidRDefault="00612BA2" w:rsidP="0032678E">
            <w:pPr>
              <w:spacing w:line="276" w:lineRule="auto"/>
              <w:jc w:val="center"/>
              <w:rPr>
                <w:rFonts w:cs="Tahoma"/>
                <w:sz w:val="22"/>
              </w:rPr>
            </w:pPr>
            <w:r w:rsidRPr="0073029B">
              <w:rPr>
                <w:rFonts w:cs="Tahoma"/>
                <w:sz w:val="22"/>
              </w:rPr>
              <w:t>0</w:t>
            </w:r>
          </w:p>
        </w:tc>
        <w:tc>
          <w:tcPr>
            <w:tcW w:w="483" w:type="pct"/>
            <w:shd w:val="clear" w:color="auto" w:fill="F2F2F2" w:themeFill="background1" w:themeFillShade="F2"/>
          </w:tcPr>
          <w:p w14:paraId="2E123031" w14:textId="77777777" w:rsidR="00612BA2" w:rsidRPr="0073029B" w:rsidRDefault="00612BA2" w:rsidP="0032678E">
            <w:pPr>
              <w:spacing w:line="276" w:lineRule="auto"/>
              <w:jc w:val="right"/>
              <w:rPr>
                <w:rFonts w:cs="Tahoma"/>
                <w:sz w:val="22"/>
              </w:rPr>
            </w:pPr>
            <w:r w:rsidRPr="0073029B">
              <w:rPr>
                <w:rFonts w:cs="Tahoma"/>
                <w:sz w:val="22"/>
              </w:rPr>
              <w:t>0%</w:t>
            </w:r>
          </w:p>
        </w:tc>
        <w:tc>
          <w:tcPr>
            <w:tcW w:w="1242" w:type="pct"/>
            <w:shd w:val="clear" w:color="auto" w:fill="F2F2F2" w:themeFill="background1" w:themeFillShade="F2"/>
          </w:tcPr>
          <w:p w14:paraId="0ACF8386" w14:textId="77777777" w:rsidR="00612BA2" w:rsidRPr="0073029B" w:rsidRDefault="00612BA2" w:rsidP="0032678E">
            <w:pPr>
              <w:spacing w:line="276" w:lineRule="auto"/>
              <w:jc w:val="center"/>
              <w:rPr>
                <w:rFonts w:cs="Tahoma"/>
                <w:sz w:val="22"/>
              </w:rPr>
            </w:pPr>
            <w:r w:rsidRPr="0073029B">
              <w:rPr>
                <w:rFonts w:cs="Tahoma"/>
                <w:sz w:val="22"/>
              </w:rPr>
              <w:t>0</w:t>
            </w:r>
          </w:p>
        </w:tc>
        <w:tc>
          <w:tcPr>
            <w:tcW w:w="483" w:type="pct"/>
            <w:shd w:val="clear" w:color="auto" w:fill="F2F2F2" w:themeFill="background1" w:themeFillShade="F2"/>
          </w:tcPr>
          <w:p w14:paraId="55F5563D" w14:textId="77777777" w:rsidR="00612BA2" w:rsidRPr="0073029B" w:rsidRDefault="00612BA2" w:rsidP="0032678E">
            <w:pPr>
              <w:spacing w:line="276" w:lineRule="auto"/>
              <w:jc w:val="right"/>
              <w:rPr>
                <w:rFonts w:cs="Tahoma"/>
                <w:sz w:val="22"/>
              </w:rPr>
            </w:pPr>
            <w:r w:rsidRPr="0073029B">
              <w:rPr>
                <w:rFonts w:cs="Tahoma"/>
                <w:sz w:val="22"/>
              </w:rPr>
              <w:t>0%</w:t>
            </w:r>
          </w:p>
        </w:tc>
      </w:tr>
      <w:tr w:rsidR="00612BA2" w:rsidRPr="0073029B" w14:paraId="28B7ABEF" w14:textId="77777777" w:rsidTr="004D2834">
        <w:tc>
          <w:tcPr>
            <w:tcW w:w="1357" w:type="pct"/>
            <w:shd w:val="clear" w:color="auto" w:fill="003A70"/>
          </w:tcPr>
          <w:p w14:paraId="7ED9924A" w14:textId="77777777" w:rsidR="00612BA2" w:rsidRPr="0073029B" w:rsidRDefault="00612BA2" w:rsidP="0032678E">
            <w:pPr>
              <w:spacing w:line="276" w:lineRule="auto"/>
              <w:jc w:val="both"/>
              <w:rPr>
                <w:rFonts w:cs="Tahoma"/>
                <w:b/>
                <w:sz w:val="22"/>
              </w:rPr>
            </w:pPr>
            <w:r w:rsidRPr="0073029B">
              <w:rPr>
                <w:rFonts w:cs="Tahoma"/>
                <w:b/>
                <w:sz w:val="22"/>
              </w:rPr>
              <w:t xml:space="preserve">Total </w:t>
            </w:r>
          </w:p>
        </w:tc>
        <w:tc>
          <w:tcPr>
            <w:tcW w:w="1435" w:type="pct"/>
            <w:shd w:val="clear" w:color="auto" w:fill="003A70"/>
          </w:tcPr>
          <w:p w14:paraId="7BCE0F40" w14:textId="77777777" w:rsidR="00612BA2" w:rsidRPr="0073029B" w:rsidRDefault="00612BA2" w:rsidP="0032678E">
            <w:pPr>
              <w:spacing w:line="276" w:lineRule="auto"/>
              <w:jc w:val="center"/>
              <w:rPr>
                <w:rFonts w:cs="Tahoma"/>
                <w:b/>
                <w:sz w:val="22"/>
              </w:rPr>
            </w:pPr>
            <w:r w:rsidRPr="0073029B">
              <w:rPr>
                <w:rFonts w:cs="Tahoma"/>
                <w:b/>
                <w:sz w:val="22"/>
              </w:rPr>
              <w:t>16</w:t>
            </w:r>
          </w:p>
        </w:tc>
        <w:tc>
          <w:tcPr>
            <w:tcW w:w="483" w:type="pct"/>
            <w:shd w:val="clear" w:color="auto" w:fill="003A70"/>
          </w:tcPr>
          <w:p w14:paraId="2B2BF985" w14:textId="77777777" w:rsidR="00612BA2" w:rsidRPr="0073029B" w:rsidRDefault="00612BA2" w:rsidP="0032678E">
            <w:pPr>
              <w:spacing w:line="276" w:lineRule="auto"/>
              <w:jc w:val="right"/>
              <w:rPr>
                <w:rFonts w:cs="Tahoma"/>
                <w:b/>
                <w:sz w:val="22"/>
              </w:rPr>
            </w:pPr>
            <w:r w:rsidRPr="0073029B">
              <w:rPr>
                <w:rFonts w:cs="Tahoma"/>
                <w:b/>
                <w:sz w:val="22"/>
              </w:rPr>
              <w:t>100%</w:t>
            </w:r>
          </w:p>
        </w:tc>
        <w:tc>
          <w:tcPr>
            <w:tcW w:w="1242" w:type="pct"/>
            <w:shd w:val="clear" w:color="auto" w:fill="003A70"/>
          </w:tcPr>
          <w:p w14:paraId="5110331D" w14:textId="77777777" w:rsidR="00612BA2" w:rsidRPr="0073029B" w:rsidRDefault="00612BA2" w:rsidP="0032678E">
            <w:pPr>
              <w:spacing w:line="276" w:lineRule="auto"/>
              <w:jc w:val="center"/>
              <w:rPr>
                <w:rFonts w:cs="Tahoma"/>
                <w:b/>
                <w:sz w:val="22"/>
              </w:rPr>
            </w:pPr>
            <w:r w:rsidRPr="0073029B">
              <w:rPr>
                <w:rFonts w:cs="Tahoma"/>
                <w:b/>
                <w:sz w:val="22"/>
              </w:rPr>
              <w:t>6</w:t>
            </w:r>
          </w:p>
        </w:tc>
        <w:tc>
          <w:tcPr>
            <w:tcW w:w="483" w:type="pct"/>
            <w:shd w:val="clear" w:color="auto" w:fill="003A70"/>
          </w:tcPr>
          <w:p w14:paraId="7585CA88" w14:textId="77777777" w:rsidR="00612BA2" w:rsidRPr="0073029B" w:rsidRDefault="00612BA2" w:rsidP="0032678E">
            <w:pPr>
              <w:spacing w:line="276" w:lineRule="auto"/>
              <w:jc w:val="right"/>
              <w:rPr>
                <w:rFonts w:cs="Tahoma"/>
                <w:b/>
                <w:sz w:val="22"/>
              </w:rPr>
            </w:pPr>
            <w:r w:rsidRPr="0073029B">
              <w:rPr>
                <w:rFonts w:cs="Tahoma"/>
                <w:b/>
                <w:sz w:val="22"/>
              </w:rPr>
              <w:t>100%</w:t>
            </w:r>
          </w:p>
        </w:tc>
      </w:tr>
    </w:tbl>
    <w:p w14:paraId="580378C7" w14:textId="77777777" w:rsidR="00612BA2" w:rsidRPr="0073029B" w:rsidRDefault="00612BA2" w:rsidP="00612BA2">
      <w:pPr>
        <w:rPr>
          <w:rFonts w:cs="Tahoma"/>
        </w:rPr>
      </w:pPr>
    </w:p>
    <w:p w14:paraId="6DD19C76" w14:textId="77777777" w:rsidR="00B80134" w:rsidRPr="0073029B" w:rsidRDefault="00B80134" w:rsidP="00B80134">
      <w:pPr>
        <w:rPr>
          <w:rFonts w:cs="Tahoma"/>
        </w:rPr>
        <w:sectPr w:rsidR="00B80134" w:rsidRPr="0073029B" w:rsidSect="00B80134">
          <w:headerReference w:type="default" r:id="rId22"/>
          <w:footerReference w:type="default" r:id="rId23"/>
          <w:pgSz w:w="12242" w:h="15842" w:code="1"/>
          <w:pgMar w:top="1418" w:right="1418" w:bottom="1418" w:left="1491" w:header="567" w:footer="567" w:gutter="0"/>
          <w:cols w:space="708"/>
          <w:docGrid w:linePitch="360"/>
        </w:sectPr>
      </w:pPr>
    </w:p>
    <w:p w14:paraId="707CB662" w14:textId="77777777" w:rsidR="0032678E" w:rsidRDefault="0032678E" w:rsidP="006D3EDA">
      <w:pPr>
        <w:pStyle w:val="Ttulo2"/>
        <w:rPr>
          <w:rFonts w:cs="Tahoma"/>
        </w:rPr>
      </w:pPr>
      <w:bookmarkStart w:id="30" w:name="_Toc189055694"/>
      <w:bookmarkStart w:id="31" w:name="_Toc220401620"/>
      <w:bookmarkEnd w:id="2"/>
    </w:p>
    <w:p w14:paraId="07C45FA9" w14:textId="1BB45710" w:rsidR="006D3EDA" w:rsidRDefault="006D3EDA" w:rsidP="006D3EDA">
      <w:pPr>
        <w:pStyle w:val="Ttulo2"/>
        <w:rPr>
          <w:rFonts w:cs="Tahoma"/>
        </w:rPr>
      </w:pPr>
      <w:r w:rsidRPr="00462C13">
        <w:rPr>
          <w:rFonts w:cs="Tahoma"/>
        </w:rPr>
        <w:t>Intervención Pública 1: Programa de fortalecimiento del Sistema Penitenciario Nacional.</w:t>
      </w:r>
      <w:bookmarkEnd w:id="30"/>
      <w:bookmarkEnd w:id="31"/>
      <w:r w:rsidRPr="00462C13">
        <w:rPr>
          <w:rFonts w:cs="Tahoma"/>
        </w:rPr>
        <w:t xml:space="preserve">  </w:t>
      </w:r>
    </w:p>
    <w:p w14:paraId="3F0E1E7C" w14:textId="77777777" w:rsidR="0032678E" w:rsidRPr="0032678E" w:rsidRDefault="0032678E" w:rsidP="0032678E"/>
    <w:tbl>
      <w:tblPr>
        <w:tblStyle w:val="Tablaclsica3"/>
        <w:tblW w:w="5000" w:type="pct"/>
        <w:jc w:val="center"/>
        <w:tblLayout w:type="fixed"/>
        <w:tblLook w:val="04A0" w:firstRow="1" w:lastRow="0" w:firstColumn="1" w:lastColumn="0" w:noHBand="0" w:noVBand="1"/>
      </w:tblPr>
      <w:tblGrid>
        <w:gridCol w:w="1404"/>
        <w:gridCol w:w="1556"/>
        <w:gridCol w:w="1137"/>
        <w:gridCol w:w="709"/>
        <w:gridCol w:w="994"/>
        <w:gridCol w:w="990"/>
        <w:gridCol w:w="1708"/>
        <w:gridCol w:w="1703"/>
        <w:gridCol w:w="1275"/>
        <w:gridCol w:w="1133"/>
        <w:gridCol w:w="1418"/>
        <w:gridCol w:w="7587"/>
      </w:tblGrid>
      <w:tr w:rsidR="006D3EDA" w:rsidRPr="00462C13" w14:paraId="3775DEF4" w14:textId="77777777" w:rsidTr="008A31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25" w:type="pct"/>
            <w:vMerge w:val="restart"/>
            <w:tcBorders>
              <w:top w:val="single" w:sz="12" w:space="0" w:color="FFFFFF"/>
              <w:left w:val="single" w:sz="12" w:space="0" w:color="FFFFFF"/>
              <w:bottom w:val="single" w:sz="12" w:space="0" w:color="FFFFFF"/>
              <w:right w:val="single" w:sz="12" w:space="0" w:color="FFFFFF"/>
            </w:tcBorders>
            <w:shd w:val="clear" w:color="auto" w:fill="003A70"/>
          </w:tcPr>
          <w:p w14:paraId="12F18DA4" w14:textId="77777777" w:rsidR="006D3EDA" w:rsidRPr="00462C13" w:rsidRDefault="006D3EDA" w:rsidP="005B79CC">
            <w:pPr>
              <w:rPr>
                <w:rFonts w:eastAsia="Arial Unicode MS" w:cs="Tahoma"/>
                <w:szCs w:val="16"/>
                <w:bdr w:val="none" w:sz="0" w:space="0" w:color="auto" w:frame="1"/>
              </w:rPr>
            </w:pPr>
            <w:bookmarkStart w:id="32" w:name="_Hlk36106228"/>
            <w:bookmarkStart w:id="33" w:name="_Hlk36106645"/>
            <w:r w:rsidRPr="00462C13">
              <w:rPr>
                <w:rFonts w:eastAsia="Arial Unicode MS" w:cs="Tahoma"/>
                <w:szCs w:val="16"/>
                <w:bdr w:val="none" w:sz="0" w:space="0" w:color="auto" w:frame="1"/>
              </w:rPr>
              <w:t xml:space="preserve">Objetivo </w:t>
            </w:r>
          </w:p>
        </w:tc>
        <w:tc>
          <w:tcPr>
            <w:tcW w:w="623" w:type="pct"/>
            <w:gridSpan w:val="2"/>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57D38D04"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xml:space="preserve">Programación </w:t>
            </w:r>
          </w:p>
          <w:p w14:paraId="69D5B462"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PNDIP 2023-2026</w:t>
            </w:r>
          </w:p>
        </w:tc>
        <w:tc>
          <w:tcPr>
            <w:tcW w:w="4052" w:type="pct"/>
            <w:gridSpan w:val="9"/>
            <w:tcBorders>
              <w:top w:val="single" w:sz="12" w:space="0" w:color="FFFFFF"/>
              <w:left w:val="single" w:sz="12" w:space="0" w:color="FFFFFF"/>
              <w:bottom w:val="single" w:sz="12" w:space="0" w:color="FFFFFF"/>
              <w:right w:val="single" w:sz="12" w:space="0" w:color="FFFFFF"/>
            </w:tcBorders>
            <w:shd w:val="clear" w:color="auto" w:fill="003A70"/>
          </w:tcPr>
          <w:p w14:paraId="4675FCF3" w14:textId="1B2AC1A2"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224BD7">
              <w:rPr>
                <w:rFonts w:eastAsia="Arial Unicode MS" w:cs="Tahoma"/>
                <w:szCs w:val="16"/>
                <w:bdr w:val="none" w:sz="0" w:space="0" w:color="auto" w:frame="1"/>
              </w:rPr>
              <w:t xml:space="preserve">Seguimiento </w:t>
            </w:r>
            <w:r>
              <w:rPr>
                <w:rFonts w:eastAsia="Arial Unicode MS" w:cs="Tahoma"/>
                <w:szCs w:val="16"/>
                <w:bdr w:val="none" w:sz="0" w:space="0" w:color="auto" w:frame="1"/>
              </w:rPr>
              <w:t xml:space="preserve">Anual </w:t>
            </w:r>
            <w:r w:rsidRPr="00224BD7">
              <w:rPr>
                <w:rFonts w:eastAsia="Arial Unicode MS" w:cs="Tahoma"/>
                <w:szCs w:val="16"/>
                <w:bdr w:val="none" w:sz="0" w:space="0" w:color="auto" w:frame="1"/>
              </w:rPr>
              <w:t>202</w:t>
            </w:r>
            <w:r w:rsidR="004B4F07">
              <w:rPr>
                <w:rFonts w:eastAsia="Arial Unicode MS" w:cs="Tahoma"/>
                <w:szCs w:val="16"/>
                <w:bdr w:val="none" w:sz="0" w:space="0" w:color="auto" w:frame="1"/>
              </w:rPr>
              <w:t>5</w:t>
            </w:r>
          </w:p>
        </w:tc>
        <w:bookmarkEnd w:id="32"/>
      </w:tr>
      <w:tr w:rsidR="00CF4324" w:rsidRPr="00462C13" w14:paraId="18AB34B6" w14:textId="77777777" w:rsidTr="008A31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25" w:type="pct"/>
            <w:vMerge/>
            <w:tcBorders>
              <w:top w:val="single" w:sz="12" w:space="0" w:color="FFFFFF"/>
              <w:left w:val="single" w:sz="12" w:space="0" w:color="FFFFFF"/>
              <w:bottom w:val="single" w:sz="12" w:space="0" w:color="FFFFFF"/>
              <w:right w:val="single" w:sz="12" w:space="0" w:color="FFFFFF"/>
            </w:tcBorders>
            <w:shd w:val="clear" w:color="auto" w:fill="003A70"/>
            <w:hideMark/>
          </w:tcPr>
          <w:p w14:paraId="3FF706F7" w14:textId="77777777" w:rsidR="006D3EDA" w:rsidRPr="00462C13" w:rsidRDefault="006D3EDA" w:rsidP="005B79CC">
            <w:pPr>
              <w:rPr>
                <w:rFonts w:eastAsia="Arial Unicode MS" w:cs="Tahoma"/>
                <w:szCs w:val="16"/>
                <w:bdr w:val="none" w:sz="0" w:space="0" w:color="auto" w:frame="1"/>
              </w:rPr>
            </w:pPr>
          </w:p>
        </w:tc>
        <w:tc>
          <w:tcPr>
            <w:tcW w:w="623" w:type="pct"/>
            <w:gridSpan w:val="2"/>
            <w:vMerge/>
            <w:tcBorders>
              <w:top w:val="single" w:sz="12" w:space="0" w:color="FFFFFF"/>
              <w:left w:val="single" w:sz="12" w:space="0" w:color="FFFFFF"/>
              <w:bottom w:val="single" w:sz="12" w:space="0" w:color="FFFFFF"/>
              <w:right w:val="single" w:sz="12" w:space="0" w:color="FFFFFF"/>
            </w:tcBorders>
            <w:shd w:val="clear" w:color="auto" w:fill="003A70"/>
            <w:hideMark/>
          </w:tcPr>
          <w:p w14:paraId="02D300C9"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64" w:type="pct"/>
            <w:vMerge w:val="restart"/>
            <w:tcBorders>
              <w:top w:val="single" w:sz="12" w:space="0" w:color="FFFFFF"/>
              <w:left w:val="single" w:sz="12" w:space="0" w:color="FFFFFF"/>
              <w:right w:val="single" w:sz="12" w:space="0" w:color="FFFFFF"/>
            </w:tcBorders>
            <w:shd w:val="clear" w:color="auto" w:fill="003A70"/>
            <w:hideMark/>
          </w:tcPr>
          <w:p w14:paraId="73D1C455"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Meta Anual</w:t>
            </w:r>
          </w:p>
        </w:tc>
        <w:tc>
          <w:tcPr>
            <w:tcW w:w="230"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5165DC41"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Absoluto</w:t>
            </w:r>
          </w:p>
        </w:tc>
        <w:tc>
          <w:tcPr>
            <w:tcW w:w="229" w:type="pct"/>
            <w:vMerge w:val="restart"/>
            <w:tcBorders>
              <w:top w:val="single" w:sz="12" w:space="0" w:color="FFFFFF"/>
              <w:left w:val="single" w:sz="12" w:space="0" w:color="FFFFFF"/>
              <w:right w:val="single" w:sz="12" w:space="0" w:color="FFFFFF"/>
            </w:tcBorders>
            <w:shd w:val="clear" w:color="auto" w:fill="003A70"/>
            <w:hideMark/>
          </w:tcPr>
          <w:p w14:paraId="4BBF7F42"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de avance</w:t>
            </w:r>
          </w:p>
        </w:tc>
        <w:tc>
          <w:tcPr>
            <w:tcW w:w="1084" w:type="pct"/>
            <w:gridSpan w:val="3"/>
            <w:tcBorders>
              <w:top w:val="single" w:sz="12" w:space="0" w:color="FFFFFF"/>
              <w:left w:val="single" w:sz="12" w:space="0" w:color="FFFFFF"/>
              <w:bottom w:val="single" w:sz="4" w:space="0" w:color="auto"/>
              <w:right w:val="single" w:sz="12" w:space="0" w:color="FFFFFF"/>
            </w:tcBorders>
            <w:shd w:val="clear" w:color="auto" w:fill="003A70"/>
          </w:tcPr>
          <w:p w14:paraId="0C81D20F" w14:textId="5BC0A002"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Presupuesto 202</w:t>
            </w:r>
            <w:r w:rsidR="004B4F07">
              <w:rPr>
                <w:rFonts w:eastAsia="Arial Unicode MS" w:cs="Tahoma"/>
                <w:szCs w:val="16"/>
                <w:bdr w:val="none" w:sz="0" w:space="0" w:color="auto" w:frame="1"/>
              </w:rPr>
              <w:t>5</w:t>
            </w:r>
          </w:p>
        </w:tc>
        <w:tc>
          <w:tcPr>
            <w:tcW w:w="262" w:type="pct"/>
            <w:vMerge w:val="restart"/>
            <w:tcBorders>
              <w:top w:val="single" w:sz="12" w:space="0" w:color="FFFFFF"/>
              <w:left w:val="single" w:sz="12" w:space="0" w:color="FFFFFF"/>
              <w:right w:val="single" w:sz="12" w:space="0" w:color="FFFFFF"/>
            </w:tcBorders>
            <w:shd w:val="clear" w:color="auto" w:fill="003A70"/>
          </w:tcPr>
          <w:p w14:paraId="6B643D13"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Responsable</w:t>
            </w:r>
          </w:p>
        </w:tc>
        <w:tc>
          <w:tcPr>
            <w:tcW w:w="328"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7F87E182"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BF3111">
              <w:rPr>
                <w:rFonts w:eastAsia="Arial Unicode MS" w:cs="Tahoma"/>
                <w:szCs w:val="16"/>
                <w:bdr w:val="none" w:sz="0" w:space="0" w:color="auto" w:frame="1"/>
              </w:rPr>
              <w:t>Clasificación de cumplimiento</w:t>
            </w:r>
          </w:p>
        </w:tc>
        <w:tc>
          <w:tcPr>
            <w:tcW w:w="1755"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1AE32FBD"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vertAlign w:val="superscript"/>
              </w:rPr>
            </w:pPr>
            <w:r w:rsidRPr="007B087D">
              <w:rPr>
                <w:rFonts w:eastAsia="Arial Unicode MS" w:cs="Tahoma"/>
                <w:sz w:val="24"/>
                <w:szCs w:val="16"/>
                <w:bdr w:val="none" w:sz="0" w:space="0" w:color="auto" w:frame="1"/>
              </w:rPr>
              <w:t xml:space="preserve">Logros </w:t>
            </w:r>
          </w:p>
        </w:tc>
      </w:tr>
      <w:tr w:rsidR="00CF4324" w:rsidRPr="00462C13" w14:paraId="0D324892" w14:textId="77777777" w:rsidTr="008A31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25" w:type="pct"/>
            <w:vMerge/>
            <w:tcBorders>
              <w:top w:val="single" w:sz="12" w:space="0" w:color="FFFFFF"/>
              <w:left w:val="single" w:sz="12" w:space="0" w:color="FFFFFF"/>
              <w:bottom w:val="single" w:sz="12" w:space="0" w:color="FFFFFF"/>
              <w:right w:val="single" w:sz="12" w:space="0" w:color="FFFFFF"/>
            </w:tcBorders>
            <w:hideMark/>
          </w:tcPr>
          <w:p w14:paraId="7B11F5CB" w14:textId="77777777" w:rsidR="006D3EDA" w:rsidRPr="00462C13" w:rsidRDefault="006D3EDA" w:rsidP="005B79CC">
            <w:pPr>
              <w:rPr>
                <w:rFonts w:eastAsia="Arial Unicode MS" w:cs="Tahoma"/>
                <w:szCs w:val="16"/>
                <w:bdr w:val="none" w:sz="0" w:space="0" w:color="auto" w:frame="1"/>
              </w:rPr>
            </w:pPr>
          </w:p>
        </w:tc>
        <w:tc>
          <w:tcPr>
            <w:tcW w:w="360" w:type="pct"/>
            <w:tcBorders>
              <w:top w:val="single" w:sz="12" w:space="0" w:color="FFFFFF"/>
              <w:left w:val="single" w:sz="12" w:space="0" w:color="FFFFFF"/>
              <w:bottom w:val="single" w:sz="12" w:space="0" w:color="FFFFFF"/>
              <w:right w:val="single" w:sz="12" w:space="0" w:color="FFFFFF"/>
            </w:tcBorders>
            <w:shd w:val="clear" w:color="auto" w:fill="003A70"/>
            <w:hideMark/>
          </w:tcPr>
          <w:p w14:paraId="7B0F581D"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Indicadores</w:t>
            </w:r>
          </w:p>
        </w:tc>
        <w:tc>
          <w:tcPr>
            <w:tcW w:w="263" w:type="pct"/>
            <w:tcBorders>
              <w:top w:val="single" w:sz="12" w:space="0" w:color="FFFFFF"/>
              <w:left w:val="single" w:sz="12" w:space="0" w:color="FFFFFF"/>
              <w:bottom w:val="single" w:sz="12" w:space="0" w:color="FFFFFF"/>
              <w:right w:val="single" w:sz="12" w:space="0" w:color="FFFFFF"/>
            </w:tcBorders>
            <w:shd w:val="clear" w:color="auto" w:fill="003A70"/>
            <w:hideMark/>
          </w:tcPr>
          <w:p w14:paraId="16B45BFB"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 xml:space="preserve">Metas Periodo </w:t>
            </w:r>
          </w:p>
        </w:tc>
        <w:tc>
          <w:tcPr>
            <w:tcW w:w="164" w:type="pct"/>
            <w:vMerge/>
            <w:tcBorders>
              <w:left w:val="single" w:sz="12" w:space="0" w:color="FFFFFF"/>
              <w:bottom w:val="single" w:sz="12" w:space="0" w:color="FFFFFF"/>
              <w:right w:val="single" w:sz="12" w:space="0" w:color="FFFFFF"/>
            </w:tcBorders>
            <w:hideMark/>
          </w:tcPr>
          <w:p w14:paraId="2039610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30" w:type="pct"/>
            <w:vMerge/>
            <w:tcBorders>
              <w:top w:val="single" w:sz="12" w:space="0" w:color="FFFFFF"/>
              <w:left w:val="single" w:sz="12" w:space="0" w:color="FFFFFF"/>
              <w:bottom w:val="single" w:sz="12" w:space="0" w:color="FFFFFF"/>
              <w:right w:val="single" w:sz="12" w:space="0" w:color="FFFFFF"/>
            </w:tcBorders>
            <w:shd w:val="clear" w:color="auto" w:fill="003366"/>
            <w:hideMark/>
          </w:tcPr>
          <w:p w14:paraId="544B65BD"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29" w:type="pct"/>
            <w:vMerge/>
            <w:tcBorders>
              <w:left w:val="single" w:sz="12" w:space="0" w:color="FFFFFF"/>
              <w:bottom w:val="single" w:sz="12" w:space="0" w:color="FFFFFF"/>
              <w:right w:val="single" w:sz="12" w:space="0" w:color="FFFFFF"/>
            </w:tcBorders>
            <w:hideMark/>
          </w:tcPr>
          <w:p w14:paraId="6B8ADF98"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95" w:type="pct"/>
            <w:tcBorders>
              <w:left w:val="single" w:sz="12" w:space="0" w:color="FFFFFF"/>
              <w:bottom w:val="single" w:sz="12" w:space="0" w:color="FFFFFF"/>
              <w:right w:val="single" w:sz="12" w:space="0" w:color="FFFFFF"/>
            </w:tcBorders>
            <w:shd w:val="clear" w:color="auto" w:fill="003A70"/>
          </w:tcPr>
          <w:p w14:paraId="49B0C58D"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rPr>
            </w:pPr>
            <w:r w:rsidRPr="00650798">
              <w:rPr>
                <w:rFonts w:ascii="Arial" w:eastAsia="Arial Unicode MS" w:hAnsi="Arial" w:cs="Arial"/>
                <w:color w:val="auto"/>
                <w:szCs w:val="12"/>
                <w:bdr w:val="none" w:sz="0" w:space="0" w:color="auto" w:frame="1"/>
                <w:lang w:eastAsia="en-US"/>
              </w:rPr>
              <w:t>Presupuesto programado</w:t>
            </w:r>
          </w:p>
        </w:tc>
        <w:tc>
          <w:tcPr>
            <w:tcW w:w="394" w:type="pct"/>
            <w:tcBorders>
              <w:left w:val="single" w:sz="12" w:space="0" w:color="FFFFFF"/>
              <w:bottom w:val="single" w:sz="12" w:space="0" w:color="FFFFFF"/>
              <w:right w:val="single" w:sz="12" w:space="0" w:color="FFFFFF"/>
            </w:tcBorders>
            <w:shd w:val="clear" w:color="auto" w:fill="003A70"/>
          </w:tcPr>
          <w:p w14:paraId="1D978B77"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Monto ejecutado</w:t>
            </w:r>
          </w:p>
        </w:tc>
        <w:tc>
          <w:tcPr>
            <w:tcW w:w="295" w:type="pct"/>
            <w:tcBorders>
              <w:left w:val="single" w:sz="12" w:space="0" w:color="FFFFFF"/>
              <w:bottom w:val="single" w:sz="12" w:space="0" w:color="FFFFFF"/>
              <w:right w:val="single" w:sz="12" w:space="0" w:color="FFFFFF"/>
            </w:tcBorders>
            <w:shd w:val="clear" w:color="auto" w:fill="003A70"/>
          </w:tcPr>
          <w:p w14:paraId="59CE1485"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Información cualitativa</w:t>
            </w:r>
          </w:p>
        </w:tc>
        <w:tc>
          <w:tcPr>
            <w:tcW w:w="262" w:type="pct"/>
            <w:vMerge/>
            <w:tcBorders>
              <w:left w:val="single" w:sz="12" w:space="0" w:color="FFFFFF"/>
              <w:bottom w:val="single" w:sz="12" w:space="0" w:color="FFFFFF"/>
              <w:right w:val="single" w:sz="12" w:space="0" w:color="FFFFFF"/>
            </w:tcBorders>
          </w:tcPr>
          <w:p w14:paraId="51F6064F"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28" w:type="pct"/>
            <w:vMerge/>
            <w:tcBorders>
              <w:top w:val="single" w:sz="12" w:space="0" w:color="FFFFFF"/>
              <w:left w:val="single" w:sz="12" w:space="0" w:color="FFFFFF"/>
              <w:bottom w:val="single" w:sz="12" w:space="0" w:color="FFFFFF"/>
              <w:right w:val="single" w:sz="12" w:space="0" w:color="FFFFFF"/>
            </w:tcBorders>
            <w:hideMark/>
          </w:tcPr>
          <w:p w14:paraId="665CF64A"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755" w:type="pct"/>
            <w:vMerge/>
            <w:tcBorders>
              <w:top w:val="single" w:sz="12" w:space="0" w:color="FFFFFF"/>
              <w:left w:val="single" w:sz="12" w:space="0" w:color="FFFFFF"/>
              <w:bottom w:val="single" w:sz="12" w:space="0" w:color="FFFFFF"/>
              <w:right w:val="single" w:sz="12" w:space="0" w:color="FFFFFF"/>
            </w:tcBorders>
            <w:hideMark/>
          </w:tcPr>
          <w:p w14:paraId="17615CD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vertAlign w:val="superscript"/>
              </w:rPr>
            </w:pPr>
          </w:p>
        </w:tc>
      </w:tr>
      <w:bookmarkEnd w:id="33"/>
      <w:tr w:rsidR="00486BB4" w:rsidRPr="00462C13" w14:paraId="2895B5A6" w14:textId="77777777" w:rsidTr="008A31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5"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hideMark/>
          </w:tcPr>
          <w:p w14:paraId="5D16B492" w14:textId="77777777" w:rsidR="00486BB4" w:rsidRPr="00462C13" w:rsidRDefault="00486BB4" w:rsidP="00486BB4">
            <w:pPr>
              <w:jc w:val="both"/>
              <w:rPr>
                <w:rFonts w:cs="Tahoma"/>
                <w:szCs w:val="16"/>
              </w:rPr>
            </w:pPr>
            <w:r w:rsidRPr="00462C13">
              <w:rPr>
                <w:rFonts w:cs="Tahoma"/>
                <w:b/>
                <w:bCs w:val="0"/>
                <w:szCs w:val="22"/>
              </w:rPr>
              <w:t>1.1</w:t>
            </w:r>
            <w:r w:rsidRPr="00462C13">
              <w:rPr>
                <w:rFonts w:cs="Tahoma"/>
                <w:szCs w:val="22"/>
              </w:rPr>
              <w:t xml:space="preserve"> Implementar el Programa de Fortalecimiento Sistema Penitenciario Nacional, con el fin de cumplir con los derechos humanos de la población penitenciaria.</w:t>
            </w:r>
          </w:p>
        </w:tc>
        <w:tc>
          <w:tcPr>
            <w:tcW w:w="36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hideMark/>
          </w:tcPr>
          <w:p w14:paraId="1E18D4B0" w14:textId="468AA699" w:rsidR="00486BB4" w:rsidRPr="00462C13" w:rsidRDefault="00486BB4" w:rsidP="00486BB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szCs w:val="16"/>
              </w:rPr>
              <w:t>A.1.1.1</w:t>
            </w:r>
            <w:r w:rsidRPr="00462C13">
              <w:rPr>
                <w:rFonts w:cs="Tahoma"/>
                <w:szCs w:val="16"/>
              </w:rPr>
              <w:t xml:space="preserve"> Tasa de participaciones en diferentes procesos de atención para su inserción social integral por cada 100 personas privadas de libertad en centros de atención institucional de población adulta y penal juvenil.</w:t>
            </w:r>
          </w:p>
        </w:tc>
        <w:tc>
          <w:tcPr>
            <w:tcW w:w="263"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hideMark/>
          </w:tcPr>
          <w:p w14:paraId="39A4255A" w14:textId="77777777" w:rsidR="00486BB4" w:rsidRPr="00462C13" w:rsidRDefault="00486BB4" w:rsidP="00486BB4">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szCs w:val="16"/>
              </w:rPr>
              <w:t>2023-2026:</w:t>
            </w:r>
            <w:r w:rsidRPr="00462C13">
              <w:rPr>
                <w:rFonts w:cs="Tahoma"/>
                <w:szCs w:val="16"/>
              </w:rPr>
              <w:t xml:space="preserve"> 65</w:t>
            </w:r>
          </w:p>
          <w:p w14:paraId="6939B71F" w14:textId="77777777" w:rsidR="00486BB4" w:rsidRPr="00462C13" w:rsidRDefault="00486BB4" w:rsidP="00486BB4">
            <w:pPr>
              <w:jc w:val="left"/>
              <w:cnfStyle w:val="000000100000" w:firstRow="0" w:lastRow="0" w:firstColumn="0" w:lastColumn="0" w:oddVBand="0" w:evenVBand="0" w:oddHBand="1" w:evenHBand="0" w:firstRowFirstColumn="0" w:firstRowLastColumn="0" w:lastRowFirstColumn="0" w:lastRowLastColumn="0"/>
              <w:rPr>
                <w:rFonts w:cs="Tahoma"/>
                <w:szCs w:val="16"/>
              </w:rPr>
            </w:pPr>
          </w:p>
          <w:p w14:paraId="663320C3" w14:textId="77777777" w:rsidR="00486BB4" w:rsidRPr="00462C13" w:rsidRDefault="00486BB4" w:rsidP="00486BB4">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2023: 0</w:t>
            </w:r>
          </w:p>
          <w:p w14:paraId="527CC662" w14:textId="77777777" w:rsidR="00486BB4" w:rsidRPr="00462C13" w:rsidRDefault="00486BB4" w:rsidP="00486BB4">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2024: 59</w:t>
            </w:r>
          </w:p>
          <w:p w14:paraId="17D38CDF" w14:textId="77777777" w:rsidR="00486BB4" w:rsidRPr="00462C13" w:rsidRDefault="00486BB4" w:rsidP="00486BB4">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2025: 62</w:t>
            </w:r>
          </w:p>
          <w:p w14:paraId="29D016BD" w14:textId="77777777" w:rsidR="00486BB4" w:rsidRPr="00462C13" w:rsidRDefault="00486BB4" w:rsidP="00486BB4">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2026: 65</w:t>
            </w:r>
          </w:p>
        </w:tc>
        <w:tc>
          <w:tcPr>
            <w:tcW w:w="16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F050E54" w14:textId="3C049F52" w:rsidR="00486BB4" w:rsidRPr="006D3EDA" w:rsidRDefault="00486BB4" w:rsidP="00486BB4">
            <w:pPr>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8"/>
                <w:highlight w:val="yellow"/>
                <w:bdr w:val="none" w:sz="0" w:space="0" w:color="auto" w:frame="1"/>
              </w:rPr>
            </w:pPr>
            <w:r w:rsidRPr="00F21356">
              <w:rPr>
                <w:rFonts w:eastAsia="Arial Unicode MS" w:cs="Tahoma"/>
                <w:szCs w:val="18"/>
                <w:bdr w:val="none" w:sz="0" w:space="0" w:color="auto" w:frame="1"/>
                <w:lang w:eastAsia="en-US"/>
              </w:rPr>
              <w:t>62</w:t>
            </w:r>
          </w:p>
        </w:tc>
        <w:tc>
          <w:tcPr>
            <w:tcW w:w="23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00372CC" w14:textId="3883AE51" w:rsidR="00486BB4" w:rsidRPr="006D3EDA" w:rsidRDefault="00486BB4" w:rsidP="00486BB4">
            <w:pPr>
              <w:jc w:val="cente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B6700C">
              <w:rPr>
                <w:rFonts w:eastAsia="Arial Unicode MS"/>
                <w:szCs w:val="16"/>
                <w:lang w:eastAsia="en-US"/>
              </w:rPr>
              <w:t>85,90</w:t>
            </w:r>
          </w:p>
        </w:tc>
        <w:tc>
          <w:tcPr>
            <w:tcW w:w="22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F57E47C" w14:textId="11E025E3" w:rsidR="00486BB4" w:rsidRPr="006D3EDA" w:rsidRDefault="00486BB4" w:rsidP="00486BB4">
            <w:pPr>
              <w:jc w:val="left"/>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B6700C">
              <w:rPr>
                <w:rFonts w:eastAsia="Arial Unicode MS"/>
                <w:szCs w:val="16"/>
                <w:lang w:eastAsia="en-US"/>
              </w:rPr>
              <w:t>138,56%</w:t>
            </w:r>
          </w:p>
        </w:tc>
        <w:tc>
          <w:tcPr>
            <w:tcW w:w="395"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9E543EF" w14:textId="77777777" w:rsidR="00486BB4" w:rsidRPr="00486BB4" w:rsidRDefault="00486BB4" w:rsidP="00486BB4">
            <w:pPr>
              <w:cnfStyle w:val="000000100000" w:firstRow="0" w:lastRow="0" w:firstColumn="0" w:lastColumn="0" w:oddVBand="0" w:evenVBand="0" w:oddHBand="1" w:evenHBand="0" w:firstRowFirstColumn="0" w:firstRowLastColumn="0" w:lastRowFirstColumn="0" w:lastRowLastColumn="0"/>
              <w:rPr>
                <w:rFonts w:cs="Tahoma"/>
                <w:szCs w:val="16"/>
              </w:rPr>
            </w:pPr>
            <w:r w:rsidRPr="00486BB4">
              <w:rPr>
                <w:rFonts w:cs="Tahoma"/>
                <w:szCs w:val="16"/>
              </w:rPr>
              <w:t>₡18 861 128 000,00</w:t>
            </w:r>
          </w:p>
        </w:tc>
        <w:tc>
          <w:tcPr>
            <w:tcW w:w="39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B6C0E53" w14:textId="77777777" w:rsidR="00486BB4" w:rsidRPr="00486BB4" w:rsidRDefault="00486BB4" w:rsidP="00486BB4">
            <w:pPr>
              <w:cnfStyle w:val="000000100000" w:firstRow="0" w:lastRow="0" w:firstColumn="0" w:lastColumn="0" w:oddVBand="0" w:evenVBand="0" w:oddHBand="1" w:evenHBand="0" w:firstRowFirstColumn="0" w:firstRowLastColumn="0" w:lastRowFirstColumn="0" w:lastRowLastColumn="0"/>
              <w:rPr>
                <w:rFonts w:cs="Tahoma"/>
                <w:szCs w:val="16"/>
              </w:rPr>
            </w:pPr>
            <w:r w:rsidRPr="00486BB4">
              <w:rPr>
                <w:rFonts w:cs="Tahoma"/>
                <w:szCs w:val="16"/>
              </w:rPr>
              <w:t>₡18 861 128 000,00</w:t>
            </w:r>
          </w:p>
        </w:tc>
        <w:tc>
          <w:tcPr>
            <w:tcW w:w="295"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B6E7293" w14:textId="77777777" w:rsidR="00486BB4" w:rsidRPr="00486BB4" w:rsidRDefault="00486BB4" w:rsidP="00486BB4">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486BB4">
              <w:rPr>
                <w:rFonts w:cs="Tahoma"/>
                <w:szCs w:val="16"/>
              </w:rPr>
              <w:t>No aplica.</w:t>
            </w:r>
          </w:p>
        </w:tc>
        <w:tc>
          <w:tcPr>
            <w:tcW w:w="262"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72E44F3" w14:textId="77777777" w:rsidR="00486BB4" w:rsidRPr="00462C13" w:rsidRDefault="00486BB4" w:rsidP="00F122B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Ministerio de</w:t>
            </w:r>
          </w:p>
          <w:p w14:paraId="5517E60F" w14:textId="77777777" w:rsidR="00486BB4" w:rsidRPr="00462C13" w:rsidRDefault="00486BB4" w:rsidP="00F122B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Justicia y Paz</w:t>
            </w:r>
            <w:r>
              <w:rPr>
                <w:rFonts w:cs="Tahoma"/>
                <w:szCs w:val="16"/>
              </w:rPr>
              <w:t>.</w:t>
            </w:r>
          </w:p>
          <w:p w14:paraId="10E1A7BE" w14:textId="77777777" w:rsidR="00486BB4" w:rsidRPr="00462C13" w:rsidRDefault="00486BB4" w:rsidP="00F122B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Dirección General</w:t>
            </w:r>
          </w:p>
          <w:p w14:paraId="3BECD2C7" w14:textId="77777777" w:rsidR="00486BB4" w:rsidRPr="00462C13" w:rsidRDefault="00486BB4" w:rsidP="00F122B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de Adaptación</w:t>
            </w:r>
          </w:p>
          <w:p w14:paraId="075F0353" w14:textId="77777777" w:rsidR="00486BB4" w:rsidRPr="00462C13" w:rsidRDefault="00486BB4" w:rsidP="00F122B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Social (DGAS)</w:t>
            </w:r>
          </w:p>
        </w:tc>
        <w:tc>
          <w:tcPr>
            <w:tcW w:w="328" w:type="pct"/>
            <w:tcBorders>
              <w:top w:val="single" w:sz="12" w:space="0" w:color="FFFFFF"/>
              <w:left w:val="single" w:sz="12" w:space="0" w:color="FFFFFF"/>
              <w:bottom w:val="single" w:sz="12" w:space="0" w:color="FFFFFF"/>
              <w:right w:val="single" w:sz="12" w:space="0" w:color="FFFFFF"/>
            </w:tcBorders>
            <w:shd w:val="clear" w:color="auto" w:fill="92D050"/>
          </w:tcPr>
          <w:p w14:paraId="630F3143" w14:textId="77777777" w:rsidR="00486BB4" w:rsidRPr="00462C13" w:rsidRDefault="00486BB4" w:rsidP="00486BB4">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C43FB6">
              <w:rPr>
                <w:rFonts w:cs="Tahoma"/>
                <w:b/>
                <w:szCs w:val="16"/>
              </w:rPr>
              <w:t>Cumplimiento alto</w:t>
            </w:r>
          </w:p>
        </w:tc>
        <w:tc>
          <w:tcPr>
            <w:tcW w:w="1755"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8E1B453" w14:textId="77777777" w:rsidR="00486BB4" w:rsidRDefault="00486BB4" w:rsidP="00486BB4">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Logros </w:t>
            </w:r>
          </w:p>
          <w:p w14:paraId="65CFBDF3" w14:textId="77777777" w:rsidR="00486BB4" w:rsidRDefault="00486BB4" w:rsidP="00486BB4">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p>
          <w:p w14:paraId="2070CA04" w14:textId="62EA26E9" w:rsidR="00486BB4" w:rsidRDefault="003D4F23" w:rsidP="00486BB4">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3D4F23">
              <w:rPr>
                <w:rFonts w:cs="Tahoma"/>
                <w:szCs w:val="16"/>
              </w:rPr>
              <w:t>Con este indicador se demuestra que se sobrepasó la meta establecida de participaciones, al superar con creces el porcentaje de compromiso con un total de 138.56%. El indicador mide la participación de personas privadas de libertad en actividades orientadas a su desarrollo personal y a la inserción social, tales como programas educativos, trabajo remunerado y voluntario, grupos de apoyo y procesos de capacitación con certificación. La implementación de estas acciones ha permitido que las personas privadas de libertad accedan a nuevos conocimientos y habilidades, fortaleciendo sus capacidades para la vida en sociedad. Esto contribuye directamente a la reducción del riesgo de reincidencia delictiva, a una integración social más efectiva y, en consecuencia, al fortalecimiento de la seguridad ciudadana y el bienestar colectivo, generando beneficios sostenibles para la sociedad en su conjunto.</w:t>
            </w:r>
          </w:p>
          <w:p w14:paraId="5EA7CB39" w14:textId="77777777" w:rsidR="003D4F23" w:rsidRDefault="003D4F23" w:rsidP="00486BB4">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2202CCE7" w14:textId="77777777" w:rsidR="00486BB4" w:rsidRDefault="00486BB4" w:rsidP="00486BB4">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Factores que contribuyeron </w:t>
            </w:r>
            <w:r>
              <w:rPr>
                <w:rFonts w:cs="Tahoma"/>
                <w:b/>
                <w:szCs w:val="16"/>
              </w:rPr>
              <w:t xml:space="preserve">al cumplimiento </w:t>
            </w:r>
            <w:r w:rsidRPr="007B087D">
              <w:rPr>
                <w:rFonts w:cs="Tahoma"/>
                <w:b/>
                <w:szCs w:val="16"/>
              </w:rPr>
              <w:t>de la meta superior a 125%</w:t>
            </w:r>
          </w:p>
          <w:p w14:paraId="607B7E67" w14:textId="77777777" w:rsidR="00486BB4" w:rsidRDefault="00486BB4" w:rsidP="00486BB4">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p>
          <w:p w14:paraId="240D2D75" w14:textId="10F0352C" w:rsidR="00486BB4" w:rsidRPr="007B087D" w:rsidRDefault="00F122BC" w:rsidP="00486BB4">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F122BC">
              <w:rPr>
                <w:rFonts w:cs="Tahoma"/>
                <w:szCs w:val="16"/>
              </w:rPr>
              <w:t>El cumplimiento de la meta por encima del 125 % se vio favorecido por la participación activa y constante de las personas privadas de libertad en procesos orientados a la adquisición de conocimientos, el desarrollo de destrezas y habilidades, así como la generación de herramientas para afrontar su vida futura y reducir, en la medida de lo posible, la reincidencia delictiva. Asimismo, este alto nivel de participación responde a la promoción y articulación institucional realizada de manera conjunta por la DGAS, las coordinaciones de nivel, las jefaturas de los centros, las jefaturas institucionales, el personal profesional involucrado y demás actores del proceso, quienes han impulsado la inserción social como un objetivo institucional prioritario.</w:t>
            </w:r>
          </w:p>
        </w:tc>
      </w:tr>
    </w:tbl>
    <w:p w14:paraId="12667A79" w14:textId="1FA9A7EC" w:rsidR="006D3EDA" w:rsidRDefault="006D3EDA" w:rsidP="006D3EDA">
      <w:pPr>
        <w:pStyle w:val="Default"/>
        <w:rPr>
          <w:rFonts w:ascii="Tahoma" w:eastAsia="Arial Narrow" w:hAnsi="Tahoma" w:cs="Tahoma"/>
          <w:sz w:val="18"/>
        </w:rPr>
      </w:pPr>
      <w:r w:rsidRPr="00462C13">
        <w:rPr>
          <w:rFonts w:ascii="Tahoma" w:eastAsia="Arial Narrow" w:hAnsi="Tahoma" w:cs="Tahoma"/>
          <w:sz w:val="16"/>
        </w:rPr>
        <w:t xml:space="preserve">Fuente: </w:t>
      </w:r>
      <w:r w:rsidRPr="00462C13">
        <w:rPr>
          <w:rFonts w:ascii="Tahoma" w:hAnsi="Tahoma" w:cs="Tahoma"/>
          <w:color w:val="auto"/>
          <w:sz w:val="16"/>
          <w:szCs w:val="16"/>
        </w:rPr>
        <w:t xml:space="preserve">Dirección General de Adaptación Social, </w:t>
      </w:r>
      <w:r w:rsidRPr="00462C13">
        <w:rPr>
          <w:rFonts w:ascii="Tahoma" w:eastAsia="Arial Narrow" w:hAnsi="Tahoma" w:cs="Tahoma"/>
          <w:sz w:val="16"/>
        </w:rPr>
        <w:t>Ministerio de Justicia y Paz, 202</w:t>
      </w:r>
      <w:r w:rsidR="00647EE0">
        <w:rPr>
          <w:rFonts w:ascii="Tahoma" w:eastAsia="Arial Narrow" w:hAnsi="Tahoma" w:cs="Tahoma"/>
          <w:sz w:val="16"/>
        </w:rPr>
        <w:t>6</w:t>
      </w:r>
      <w:r w:rsidRPr="00462C13">
        <w:rPr>
          <w:rFonts w:ascii="Tahoma" w:eastAsia="Arial Narrow" w:hAnsi="Tahoma" w:cs="Tahoma"/>
          <w:sz w:val="18"/>
        </w:rPr>
        <w:t xml:space="preserve">. </w:t>
      </w:r>
    </w:p>
    <w:p w14:paraId="68642A07" w14:textId="77777777" w:rsidR="0032678E" w:rsidRDefault="0032678E" w:rsidP="006D3EDA">
      <w:pPr>
        <w:pStyle w:val="Default"/>
        <w:rPr>
          <w:rFonts w:ascii="Tahoma" w:eastAsia="Arial Narrow" w:hAnsi="Tahoma" w:cs="Tahoma"/>
          <w:sz w:val="18"/>
        </w:rPr>
      </w:pPr>
    </w:p>
    <w:p w14:paraId="42658192" w14:textId="77777777" w:rsidR="0032678E" w:rsidRDefault="0032678E" w:rsidP="006D3EDA">
      <w:pPr>
        <w:pStyle w:val="Default"/>
        <w:rPr>
          <w:rFonts w:ascii="Tahoma" w:eastAsia="Arial Narrow" w:hAnsi="Tahoma" w:cs="Tahoma"/>
          <w:sz w:val="18"/>
        </w:rPr>
      </w:pPr>
    </w:p>
    <w:p w14:paraId="6F65C3C3" w14:textId="77777777" w:rsidR="0032678E" w:rsidRDefault="0032678E" w:rsidP="006D3EDA">
      <w:pPr>
        <w:pStyle w:val="Default"/>
        <w:rPr>
          <w:rFonts w:ascii="Tahoma" w:eastAsia="Arial Narrow" w:hAnsi="Tahoma" w:cs="Tahoma"/>
          <w:sz w:val="18"/>
        </w:rPr>
      </w:pPr>
    </w:p>
    <w:p w14:paraId="4F908C28" w14:textId="77777777" w:rsidR="0032678E" w:rsidRDefault="0032678E" w:rsidP="006D3EDA">
      <w:pPr>
        <w:pStyle w:val="Default"/>
        <w:rPr>
          <w:rFonts w:ascii="Tahoma" w:eastAsia="Arial Narrow" w:hAnsi="Tahoma" w:cs="Tahoma"/>
          <w:sz w:val="18"/>
        </w:rPr>
      </w:pPr>
    </w:p>
    <w:p w14:paraId="63F3EE9E" w14:textId="77777777" w:rsidR="0032678E" w:rsidRDefault="0032678E" w:rsidP="006D3EDA">
      <w:pPr>
        <w:pStyle w:val="Default"/>
        <w:rPr>
          <w:rFonts w:ascii="Tahoma" w:eastAsia="Arial Narrow" w:hAnsi="Tahoma" w:cs="Tahoma"/>
          <w:sz w:val="18"/>
        </w:rPr>
      </w:pPr>
    </w:p>
    <w:p w14:paraId="09360117" w14:textId="77777777" w:rsidR="0032678E" w:rsidRDefault="0032678E" w:rsidP="006D3EDA">
      <w:pPr>
        <w:pStyle w:val="Default"/>
        <w:rPr>
          <w:rFonts w:ascii="Tahoma" w:eastAsia="Arial Narrow" w:hAnsi="Tahoma" w:cs="Tahoma"/>
          <w:sz w:val="18"/>
        </w:rPr>
      </w:pPr>
    </w:p>
    <w:p w14:paraId="3049E46E" w14:textId="77777777" w:rsidR="0032678E" w:rsidRDefault="0032678E" w:rsidP="006D3EDA">
      <w:pPr>
        <w:pStyle w:val="Default"/>
        <w:rPr>
          <w:rFonts w:ascii="Tahoma" w:eastAsia="Arial Narrow" w:hAnsi="Tahoma" w:cs="Tahoma"/>
          <w:sz w:val="18"/>
        </w:rPr>
      </w:pPr>
    </w:p>
    <w:p w14:paraId="600C0EB3" w14:textId="77777777" w:rsidR="0032678E" w:rsidRDefault="0032678E" w:rsidP="006D3EDA">
      <w:pPr>
        <w:pStyle w:val="Default"/>
        <w:rPr>
          <w:rFonts w:ascii="Tahoma" w:eastAsia="Arial Narrow" w:hAnsi="Tahoma" w:cs="Tahoma"/>
          <w:sz w:val="18"/>
        </w:rPr>
      </w:pPr>
    </w:p>
    <w:p w14:paraId="1F11C322" w14:textId="77777777" w:rsidR="0032678E" w:rsidRDefault="0032678E" w:rsidP="006D3EDA">
      <w:pPr>
        <w:pStyle w:val="Default"/>
        <w:rPr>
          <w:rFonts w:ascii="Tahoma" w:eastAsia="Arial Narrow" w:hAnsi="Tahoma" w:cs="Tahoma"/>
          <w:sz w:val="18"/>
        </w:rPr>
      </w:pPr>
    </w:p>
    <w:p w14:paraId="13DC6E9F" w14:textId="77777777" w:rsidR="0032678E" w:rsidRDefault="0032678E" w:rsidP="006D3EDA">
      <w:pPr>
        <w:pStyle w:val="Default"/>
        <w:rPr>
          <w:rFonts w:ascii="Tahoma" w:eastAsia="Arial Narrow" w:hAnsi="Tahoma" w:cs="Tahoma"/>
          <w:sz w:val="18"/>
        </w:rPr>
      </w:pPr>
    </w:p>
    <w:p w14:paraId="4C3A0CFC" w14:textId="77777777" w:rsidR="0032678E" w:rsidRDefault="0032678E" w:rsidP="006D3EDA">
      <w:pPr>
        <w:pStyle w:val="Default"/>
        <w:rPr>
          <w:rFonts w:ascii="Tahoma" w:eastAsia="Arial Narrow" w:hAnsi="Tahoma" w:cs="Tahoma"/>
          <w:sz w:val="18"/>
        </w:rPr>
      </w:pPr>
    </w:p>
    <w:p w14:paraId="292D91C6" w14:textId="77777777" w:rsidR="0032678E" w:rsidRDefault="0032678E" w:rsidP="006D3EDA">
      <w:pPr>
        <w:pStyle w:val="Default"/>
        <w:rPr>
          <w:rFonts w:ascii="Tahoma" w:eastAsia="Arial Narrow" w:hAnsi="Tahoma" w:cs="Tahoma"/>
          <w:sz w:val="18"/>
        </w:rPr>
      </w:pPr>
    </w:p>
    <w:p w14:paraId="70FAC390" w14:textId="77777777" w:rsidR="0032678E" w:rsidRDefault="0032678E" w:rsidP="006D3EDA">
      <w:pPr>
        <w:pStyle w:val="Default"/>
        <w:rPr>
          <w:rFonts w:ascii="Tahoma" w:eastAsia="Arial Narrow" w:hAnsi="Tahoma" w:cs="Tahoma"/>
          <w:sz w:val="18"/>
        </w:rPr>
      </w:pPr>
    </w:p>
    <w:p w14:paraId="6C0F7DDF" w14:textId="77777777" w:rsidR="0032678E" w:rsidRDefault="0032678E" w:rsidP="006D3EDA">
      <w:pPr>
        <w:pStyle w:val="Default"/>
        <w:rPr>
          <w:rFonts w:ascii="Tahoma" w:eastAsia="Arial Narrow" w:hAnsi="Tahoma" w:cs="Tahoma"/>
          <w:sz w:val="18"/>
        </w:rPr>
      </w:pPr>
    </w:p>
    <w:p w14:paraId="6635571B" w14:textId="77777777" w:rsidR="0032678E" w:rsidRDefault="0032678E" w:rsidP="006D3EDA">
      <w:pPr>
        <w:pStyle w:val="Default"/>
        <w:rPr>
          <w:rFonts w:ascii="Tahoma" w:eastAsia="Arial Narrow" w:hAnsi="Tahoma" w:cs="Tahoma"/>
          <w:sz w:val="18"/>
        </w:rPr>
      </w:pPr>
    </w:p>
    <w:p w14:paraId="0048A51B" w14:textId="77777777" w:rsidR="0032678E" w:rsidRDefault="0032678E" w:rsidP="006D3EDA">
      <w:pPr>
        <w:pStyle w:val="Default"/>
        <w:rPr>
          <w:rFonts w:ascii="Tahoma" w:eastAsia="Arial Narrow" w:hAnsi="Tahoma" w:cs="Tahoma"/>
          <w:sz w:val="18"/>
        </w:rPr>
      </w:pPr>
    </w:p>
    <w:p w14:paraId="60BB2534" w14:textId="77777777" w:rsidR="0032678E" w:rsidRDefault="0032678E" w:rsidP="006D3EDA">
      <w:pPr>
        <w:pStyle w:val="Default"/>
        <w:rPr>
          <w:rFonts w:ascii="Tahoma" w:eastAsia="Arial Narrow" w:hAnsi="Tahoma" w:cs="Tahoma"/>
          <w:sz w:val="18"/>
        </w:rPr>
      </w:pPr>
    </w:p>
    <w:p w14:paraId="3B276E43" w14:textId="77777777" w:rsidR="0032678E" w:rsidRDefault="0032678E" w:rsidP="006D3EDA">
      <w:pPr>
        <w:pStyle w:val="Default"/>
        <w:rPr>
          <w:rFonts w:ascii="Tahoma" w:eastAsia="Arial Narrow" w:hAnsi="Tahoma" w:cs="Tahoma"/>
          <w:sz w:val="18"/>
        </w:rPr>
      </w:pPr>
    </w:p>
    <w:p w14:paraId="74ECD079" w14:textId="77777777" w:rsidR="0032678E" w:rsidRDefault="0032678E" w:rsidP="006D3EDA">
      <w:pPr>
        <w:pStyle w:val="Default"/>
        <w:rPr>
          <w:rFonts w:ascii="Tahoma" w:eastAsia="Arial Narrow" w:hAnsi="Tahoma" w:cs="Tahoma"/>
          <w:sz w:val="18"/>
        </w:rPr>
      </w:pPr>
    </w:p>
    <w:p w14:paraId="63D74FB7" w14:textId="77777777" w:rsidR="0032678E" w:rsidRDefault="0032678E" w:rsidP="006D3EDA">
      <w:pPr>
        <w:pStyle w:val="Default"/>
        <w:rPr>
          <w:rFonts w:ascii="Tahoma" w:eastAsia="Arial Narrow" w:hAnsi="Tahoma" w:cs="Tahoma"/>
          <w:sz w:val="18"/>
        </w:rPr>
      </w:pPr>
    </w:p>
    <w:p w14:paraId="00752D48" w14:textId="77777777" w:rsidR="006D3EDA" w:rsidRDefault="006D3EDA" w:rsidP="006D3EDA">
      <w:pPr>
        <w:pStyle w:val="Default"/>
        <w:rPr>
          <w:rFonts w:ascii="Tahoma" w:eastAsia="Arial Narrow" w:hAnsi="Tahoma" w:cs="Tahoma"/>
          <w:sz w:val="18"/>
        </w:rPr>
      </w:pPr>
    </w:p>
    <w:tbl>
      <w:tblPr>
        <w:tblStyle w:val="TablaMIDEPLAN1"/>
        <w:tblW w:w="5000" w:type="pct"/>
        <w:jc w:val="center"/>
        <w:shd w:val="clear" w:color="auto" w:fill="C0C0C0"/>
        <w:tblLayout w:type="fixed"/>
        <w:tblLook w:val="04A0" w:firstRow="1" w:lastRow="0" w:firstColumn="1" w:lastColumn="0" w:noHBand="0" w:noVBand="1"/>
      </w:tblPr>
      <w:tblGrid>
        <w:gridCol w:w="1404"/>
        <w:gridCol w:w="1555"/>
        <w:gridCol w:w="1561"/>
        <w:gridCol w:w="1561"/>
        <w:gridCol w:w="1842"/>
        <w:gridCol w:w="1561"/>
        <w:gridCol w:w="1556"/>
        <w:gridCol w:w="1137"/>
        <w:gridCol w:w="1133"/>
        <w:gridCol w:w="1418"/>
        <w:gridCol w:w="3968"/>
        <w:gridCol w:w="2918"/>
      </w:tblGrid>
      <w:tr w:rsidR="006D3EDA" w:rsidRPr="00C43FB6" w14:paraId="55189042" w14:textId="77777777" w:rsidTr="008A31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25" w:type="pct"/>
            <w:vMerge w:val="restart"/>
            <w:shd w:val="clear" w:color="auto" w:fill="003A70"/>
          </w:tcPr>
          <w:p w14:paraId="6AB506CA" w14:textId="093F4B35" w:rsidR="006D3EDA" w:rsidRPr="00C43FB6" w:rsidRDefault="0021285B" w:rsidP="005B79CC">
            <w:pPr>
              <w:spacing w:line="259" w:lineRule="auto"/>
              <w:rPr>
                <w:rFonts w:eastAsia="Arial Unicode MS" w:cs="Tahoma"/>
                <w:color w:val="auto"/>
                <w:szCs w:val="16"/>
                <w:lang w:eastAsia="en-US"/>
              </w:rPr>
            </w:pPr>
            <w:r w:rsidRPr="00462C13">
              <w:rPr>
                <w:rFonts w:eastAsia="Arial Unicode MS" w:cs="Tahoma"/>
                <w:szCs w:val="16"/>
                <w:bdr w:val="none" w:sz="0" w:space="0" w:color="auto" w:frame="1"/>
              </w:rPr>
              <w:lastRenderedPageBreak/>
              <w:t>Objetivo</w:t>
            </w:r>
            <w:r w:rsidRPr="00C43FB6">
              <w:rPr>
                <w:rFonts w:eastAsia="Arial Unicode MS" w:cs="Tahoma"/>
                <w:color w:val="auto"/>
                <w:szCs w:val="16"/>
                <w:lang w:eastAsia="en-US"/>
              </w:rPr>
              <w:t xml:space="preserve"> </w:t>
            </w:r>
          </w:p>
        </w:tc>
        <w:tc>
          <w:tcPr>
            <w:tcW w:w="360" w:type="pct"/>
            <w:vMerge w:val="restart"/>
            <w:shd w:val="clear" w:color="auto" w:fill="003A70"/>
          </w:tcPr>
          <w:p w14:paraId="3DD2511E" w14:textId="77777777" w:rsidR="006D3EDA" w:rsidRPr="00C43FB6" w:rsidRDefault="006D3EDA" w:rsidP="005B79CC">
            <w:pPr>
              <w:spacing w:line="259" w:lineRule="auto"/>
              <w:cnfStyle w:val="100000000000" w:firstRow="1" w:lastRow="0" w:firstColumn="0" w:lastColumn="0" w:oddVBand="0" w:evenVBand="0" w:oddHBand="0" w:evenHBand="0" w:firstRowFirstColumn="0" w:firstRowLastColumn="0" w:lastRowFirstColumn="0" w:lastRowLastColumn="0"/>
              <w:rPr>
                <w:rFonts w:eastAsia="Arial Unicode MS" w:cs="Tahoma"/>
                <w:b w:val="0"/>
                <w:bCs w:val="0"/>
                <w:color w:val="auto"/>
                <w:szCs w:val="16"/>
                <w:lang w:eastAsia="en-US"/>
              </w:rPr>
            </w:pPr>
            <w:r w:rsidRPr="00C43FB6">
              <w:rPr>
                <w:rFonts w:eastAsia="Arial Unicode MS" w:cs="Tahoma"/>
                <w:color w:val="auto"/>
                <w:szCs w:val="16"/>
                <w:lang w:eastAsia="en-US"/>
              </w:rPr>
              <w:t xml:space="preserve">Indicador </w:t>
            </w:r>
          </w:p>
          <w:p w14:paraId="487ECEA7" w14:textId="77777777" w:rsidR="006D3EDA" w:rsidRPr="00C43FB6" w:rsidRDefault="006D3EDA" w:rsidP="005B79CC">
            <w:pPr>
              <w:spacing w:line="259" w:lineRule="auto"/>
              <w:cnfStyle w:val="100000000000" w:firstRow="1" w:lastRow="0" w:firstColumn="0" w:lastColumn="0" w:oddVBand="0" w:evenVBand="0" w:oddHBand="0" w:evenHBand="0" w:firstRowFirstColumn="0" w:firstRowLastColumn="0" w:lastRowFirstColumn="0" w:lastRowLastColumn="0"/>
              <w:rPr>
                <w:rFonts w:eastAsia="Arial Unicode MS" w:cs="Tahoma"/>
                <w:color w:val="auto"/>
                <w:szCs w:val="16"/>
                <w:lang w:eastAsia="en-US"/>
              </w:rPr>
            </w:pPr>
            <w:r w:rsidRPr="00C43FB6">
              <w:rPr>
                <w:rFonts w:eastAsia="Arial Unicode MS" w:cs="Tahoma"/>
                <w:color w:val="auto"/>
                <w:szCs w:val="16"/>
                <w:lang w:eastAsia="en-US"/>
              </w:rPr>
              <w:t>PNDIP 2023-2026</w:t>
            </w:r>
          </w:p>
        </w:tc>
        <w:tc>
          <w:tcPr>
            <w:tcW w:w="4315" w:type="pct"/>
            <w:gridSpan w:val="10"/>
            <w:shd w:val="clear" w:color="auto" w:fill="003A70"/>
          </w:tcPr>
          <w:p w14:paraId="43CAC5F1" w14:textId="07578766" w:rsidR="006D3EDA" w:rsidRPr="00C43FB6" w:rsidRDefault="006D3EDA" w:rsidP="005B79CC">
            <w:pPr>
              <w:spacing w:line="259" w:lineRule="auto"/>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color w:val="auto"/>
                <w:szCs w:val="16"/>
                <w:lang w:eastAsia="en-US"/>
              </w:rPr>
            </w:pPr>
            <w:r w:rsidRPr="00C43FB6">
              <w:rPr>
                <w:rFonts w:eastAsia="Arial Unicode MS" w:cs="Tahoma"/>
                <w:color w:val="auto"/>
                <w:szCs w:val="16"/>
                <w:lang w:eastAsia="en-US"/>
              </w:rPr>
              <w:t>Seguimiento Anual 202</w:t>
            </w:r>
            <w:r w:rsidR="004B4F07">
              <w:rPr>
                <w:rFonts w:eastAsia="Arial Unicode MS" w:cs="Tahoma"/>
                <w:color w:val="auto"/>
                <w:szCs w:val="16"/>
                <w:lang w:eastAsia="en-US"/>
              </w:rPr>
              <w:t>5</w:t>
            </w:r>
          </w:p>
        </w:tc>
      </w:tr>
      <w:tr w:rsidR="005852D5" w:rsidRPr="00C43FB6" w14:paraId="0D78B3CC" w14:textId="77777777" w:rsidTr="008A31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5" w:type="pct"/>
            <w:vMerge/>
            <w:shd w:val="clear" w:color="auto" w:fill="003A70"/>
            <w:vAlign w:val="center"/>
          </w:tcPr>
          <w:p w14:paraId="2A63086C" w14:textId="77777777" w:rsidR="006D3EDA" w:rsidRPr="00C43FB6" w:rsidRDefault="006D3EDA" w:rsidP="005B79CC">
            <w:pPr>
              <w:spacing w:line="259" w:lineRule="auto"/>
              <w:jc w:val="center"/>
              <w:rPr>
                <w:rFonts w:eastAsia="Arial Unicode MS" w:cs="Tahoma"/>
                <w:color w:val="auto"/>
                <w:szCs w:val="16"/>
                <w:lang w:eastAsia="en-US"/>
              </w:rPr>
            </w:pPr>
          </w:p>
        </w:tc>
        <w:tc>
          <w:tcPr>
            <w:tcW w:w="360" w:type="pct"/>
            <w:vMerge/>
            <w:shd w:val="clear" w:color="auto" w:fill="003A70"/>
            <w:vAlign w:val="center"/>
          </w:tcPr>
          <w:p w14:paraId="3446E5E9" w14:textId="77777777" w:rsidR="006D3EDA" w:rsidRPr="00C43FB6" w:rsidRDefault="006D3EDA" w:rsidP="005B79CC">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6"/>
                <w:lang w:eastAsia="en-US"/>
              </w:rPr>
            </w:pPr>
          </w:p>
        </w:tc>
        <w:tc>
          <w:tcPr>
            <w:tcW w:w="361" w:type="pct"/>
            <w:vMerge w:val="restart"/>
            <w:shd w:val="clear" w:color="auto" w:fill="003A70"/>
            <w:vAlign w:val="center"/>
          </w:tcPr>
          <w:p w14:paraId="1EEEEAD9" w14:textId="77777777" w:rsidR="006D3EDA" w:rsidRPr="00C43FB6" w:rsidRDefault="006D3EDA" w:rsidP="005B79CC">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6"/>
                <w:lang w:eastAsia="en-US"/>
              </w:rPr>
            </w:pPr>
            <w:r w:rsidRPr="00C43FB6">
              <w:rPr>
                <w:rFonts w:eastAsia="Arial Unicode MS" w:cs="Tahoma"/>
                <w:b/>
                <w:bCs/>
                <w:iCs/>
                <w:szCs w:val="16"/>
                <w:lang w:eastAsia="en-US"/>
              </w:rPr>
              <w:t>Meta Anual</w:t>
            </w:r>
          </w:p>
        </w:tc>
        <w:tc>
          <w:tcPr>
            <w:tcW w:w="361" w:type="pct"/>
            <w:vMerge w:val="restart"/>
            <w:shd w:val="clear" w:color="auto" w:fill="003A70"/>
            <w:vAlign w:val="center"/>
          </w:tcPr>
          <w:p w14:paraId="4EB43A15" w14:textId="77777777" w:rsidR="006D3EDA" w:rsidRPr="00C43FB6" w:rsidRDefault="006D3EDA" w:rsidP="005B79CC">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6"/>
                <w:vertAlign w:val="superscript"/>
                <w:lang w:eastAsia="en-US"/>
              </w:rPr>
            </w:pPr>
            <w:r w:rsidRPr="00C43FB6">
              <w:rPr>
                <w:rFonts w:eastAsia="Arial Unicode MS" w:cs="Tahoma"/>
                <w:b/>
                <w:bCs/>
                <w:iCs/>
                <w:szCs w:val="16"/>
                <w:lang w:eastAsia="en-US"/>
              </w:rPr>
              <w:t>Absoluto</w:t>
            </w:r>
          </w:p>
        </w:tc>
        <w:tc>
          <w:tcPr>
            <w:tcW w:w="426" w:type="pct"/>
            <w:vMerge w:val="restart"/>
            <w:shd w:val="clear" w:color="auto" w:fill="003A70"/>
            <w:vAlign w:val="center"/>
          </w:tcPr>
          <w:p w14:paraId="73251AC2" w14:textId="77777777" w:rsidR="006D3EDA" w:rsidRPr="00C43FB6" w:rsidRDefault="006D3EDA" w:rsidP="005B79CC">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6"/>
                <w:vertAlign w:val="superscript"/>
                <w:lang w:eastAsia="en-US"/>
              </w:rPr>
            </w:pPr>
            <w:r w:rsidRPr="00C43FB6">
              <w:rPr>
                <w:rFonts w:eastAsia="Arial Unicode MS" w:cs="Tahoma"/>
                <w:b/>
                <w:bCs/>
                <w:iCs/>
                <w:szCs w:val="16"/>
                <w:lang w:eastAsia="en-US"/>
              </w:rPr>
              <w:t>% de avance</w:t>
            </w:r>
          </w:p>
        </w:tc>
        <w:tc>
          <w:tcPr>
            <w:tcW w:w="984" w:type="pct"/>
            <w:gridSpan w:val="3"/>
            <w:shd w:val="clear" w:color="auto" w:fill="003A70"/>
            <w:vAlign w:val="center"/>
          </w:tcPr>
          <w:p w14:paraId="71806A3A" w14:textId="35295453" w:rsidR="006D3EDA" w:rsidRPr="00C43FB6" w:rsidRDefault="006D3EDA" w:rsidP="005B79CC">
            <w:pPr>
              <w:spacing w:line="259" w:lineRule="auto"/>
              <w:ind w:left="-108" w:right="-108"/>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6"/>
                <w:lang w:eastAsia="en-US"/>
              </w:rPr>
            </w:pPr>
            <w:r w:rsidRPr="00C43FB6">
              <w:rPr>
                <w:rFonts w:eastAsia="Arial Unicode MS" w:cs="Tahoma"/>
                <w:b/>
                <w:bCs/>
                <w:iCs/>
                <w:szCs w:val="16"/>
                <w:lang w:eastAsia="en-US"/>
              </w:rPr>
              <w:t>Presupuesto 202</w:t>
            </w:r>
            <w:r w:rsidR="004B4F07">
              <w:rPr>
                <w:rFonts w:eastAsia="Arial Unicode MS" w:cs="Tahoma"/>
                <w:b/>
                <w:bCs/>
                <w:iCs/>
                <w:szCs w:val="16"/>
                <w:lang w:eastAsia="en-US"/>
              </w:rPr>
              <w:t>5</w:t>
            </w:r>
          </w:p>
        </w:tc>
        <w:tc>
          <w:tcPr>
            <w:tcW w:w="262" w:type="pct"/>
            <w:vMerge w:val="restart"/>
            <w:shd w:val="clear" w:color="auto" w:fill="003A70"/>
            <w:vAlign w:val="center"/>
          </w:tcPr>
          <w:p w14:paraId="667826AF" w14:textId="77777777" w:rsidR="006D3EDA" w:rsidRPr="00C43FB6" w:rsidRDefault="006D3EDA" w:rsidP="005B79CC">
            <w:pPr>
              <w:spacing w:line="259" w:lineRule="auto"/>
              <w:ind w:left="-108" w:right="-108"/>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6"/>
                <w:lang w:eastAsia="en-US"/>
              </w:rPr>
            </w:pPr>
            <w:r w:rsidRPr="00C43FB6">
              <w:rPr>
                <w:rFonts w:eastAsia="Arial Unicode MS" w:cs="Tahoma"/>
                <w:b/>
                <w:bCs/>
                <w:iCs/>
                <w:szCs w:val="16"/>
                <w:lang w:eastAsia="en-US"/>
              </w:rPr>
              <w:t>Responsable</w:t>
            </w:r>
          </w:p>
        </w:tc>
        <w:tc>
          <w:tcPr>
            <w:tcW w:w="328" w:type="pct"/>
            <w:vMerge w:val="restart"/>
            <w:shd w:val="clear" w:color="auto" w:fill="003A70"/>
            <w:vAlign w:val="center"/>
          </w:tcPr>
          <w:p w14:paraId="2A70EBE8" w14:textId="77777777" w:rsidR="006D3EDA" w:rsidRPr="00C43FB6" w:rsidRDefault="006D3EDA" w:rsidP="005B79CC">
            <w:pPr>
              <w:spacing w:line="259" w:lineRule="auto"/>
              <w:ind w:left="-108" w:right="-108"/>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6"/>
                <w:vertAlign w:val="superscript"/>
                <w:lang w:eastAsia="en-US"/>
              </w:rPr>
            </w:pPr>
            <w:r w:rsidRPr="00C43FB6">
              <w:rPr>
                <w:rFonts w:eastAsia="Arial Unicode MS" w:cs="Tahoma"/>
                <w:b/>
                <w:bCs/>
                <w:iCs/>
                <w:szCs w:val="16"/>
                <w:lang w:eastAsia="en-US"/>
              </w:rPr>
              <w:t>Clasificación de cumplimiento</w:t>
            </w:r>
          </w:p>
        </w:tc>
        <w:tc>
          <w:tcPr>
            <w:tcW w:w="1593" w:type="pct"/>
            <w:gridSpan w:val="2"/>
            <w:shd w:val="clear" w:color="auto" w:fill="003A70"/>
            <w:vAlign w:val="center"/>
          </w:tcPr>
          <w:p w14:paraId="4916DF13" w14:textId="77777777" w:rsidR="006D3EDA" w:rsidRPr="00C43FB6" w:rsidRDefault="006D3EDA" w:rsidP="005B79CC">
            <w:pPr>
              <w:spacing w:line="259" w:lineRule="auto"/>
              <w:ind w:left="-108" w:right="-108"/>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6"/>
                <w:vertAlign w:val="superscript"/>
                <w:lang w:eastAsia="en-US"/>
              </w:rPr>
            </w:pPr>
            <w:r w:rsidRPr="00C43FB6">
              <w:rPr>
                <w:rFonts w:eastAsia="Arial Unicode MS" w:cs="Tahoma"/>
                <w:b/>
                <w:bCs/>
                <w:iCs/>
                <w:szCs w:val="16"/>
                <w:lang w:eastAsia="en-US"/>
              </w:rPr>
              <w:t>Obstáculos</w:t>
            </w:r>
          </w:p>
        </w:tc>
      </w:tr>
      <w:tr w:rsidR="005852D5" w:rsidRPr="00C43FB6" w14:paraId="2ED0A497" w14:textId="77777777" w:rsidTr="008A31D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5" w:type="pct"/>
            <w:vMerge/>
            <w:shd w:val="clear" w:color="auto" w:fill="003A70"/>
            <w:vAlign w:val="center"/>
          </w:tcPr>
          <w:p w14:paraId="6A964F0E" w14:textId="77777777" w:rsidR="006D3EDA" w:rsidRPr="00C43FB6" w:rsidRDefault="006D3EDA" w:rsidP="005B79CC">
            <w:pPr>
              <w:spacing w:line="259" w:lineRule="auto"/>
              <w:jc w:val="center"/>
              <w:rPr>
                <w:rFonts w:eastAsia="Arial Unicode MS" w:cs="Tahoma"/>
                <w:color w:val="auto"/>
                <w:szCs w:val="16"/>
                <w:lang w:eastAsia="en-US"/>
              </w:rPr>
            </w:pPr>
          </w:p>
        </w:tc>
        <w:tc>
          <w:tcPr>
            <w:tcW w:w="360" w:type="pct"/>
            <w:vMerge/>
            <w:shd w:val="clear" w:color="auto" w:fill="003A70"/>
            <w:vAlign w:val="center"/>
          </w:tcPr>
          <w:p w14:paraId="2363C3E6" w14:textId="77777777" w:rsidR="006D3EDA" w:rsidRPr="00C43FB6" w:rsidRDefault="006D3EDA" w:rsidP="005B79CC">
            <w:pPr>
              <w:spacing w:line="259" w:lineRule="auto"/>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lang w:eastAsia="en-US"/>
              </w:rPr>
            </w:pPr>
          </w:p>
        </w:tc>
        <w:tc>
          <w:tcPr>
            <w:tcW w:w="361" w:type="pct"/>
            <w:vMerge/>
            <w:shd w:val="clear" w:color="auto" w:fill="003A70"/>
            <w:vAlign w:val="center"/>
          </w:tcPr>
          <w:p w14:paraId="455F130A" w14:textId="77777777" w:rsidR="006D3EDA" w:rsidRPr="00C43FB6" w:rsidRDefault="006D3EDA" w:rsidP="005B79CC">
            <w:pPr>
              <w:spacing w:line="259" w:lineRule="auto"/>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lang w:eastAsia="en-US"/>
              </w:rPr>
            </w:pPr>
          </w:p>
        </w:tc>
        <w:tc>
          <w:tcPr>
            <w:tcW w:w="361" w:type="pct"/>
            <w:vMerge/>
            <w:shd w:val="clear" w:color="auto" w:fill="003A70"/>
            <w:vAlign w:val="center"/>
          </w:tcPr>
          <w:p w14:paraId="6B6A4138" w14:textId="77777777" w:rsidR="006D3EDA" w:rsidRPr="00C43FB6" w:rsidRDefault="006D3EDA" w:rsidP="005B79CC">
            <w:pPr>
              <w:spacing w:line="259" w:lineRule="auto"/>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lang w:eastAsia="en-US"/>
              </w:rPr>
            </w:pPr>
          </w:p>
        </w:tc>
        <w:tc>
          <w:tcPr>
            <w:tcW w:w="426" w:type="pct"/>
            <w:vMerge/>
            <w:shd w:val="clear" w:color="auto" w:fill="003A70"/>
            <w:vAlign w:val="center"/>
          </w:tcPr>
          <w:p w14:paraId="6654F255" w14:textId="77777777" w:rsidR="006D3EDA" w:rsidRPr="00C43FB6" w:rsidRDefault="006D3EDA" w:rsidP="005B79CC">
            <w:pPr>
              <w:spacing w:line="259" w:lineRule="auto"/>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lang w:eastAsia="en-US"/>
              </w:rPr>
            </w:pPr>
          </w:p>
        </w:tc>
        <w:tc>
          <w:tcPr>
            <w:tcW w:w="361" w:type="pct"/>
            <w:shd w:val="clear" w:color="auto" w:fill="003A70"/>
            <w:vAlign w:val="center"/>
          </w:tcPr>
          <w:p w14:paraId="63E1A3C8" w14:textId="77777777" w:rsidR="006D3EDA" w:rsidRPr="00C43FB6" w:rsidRDefault="006D3EDA" w:rsidP="005B79CC">
            <w:pPr>
              <w:spacing w:line="259" w:lineRule="auto"/>
              <w:ind w:left="-108" w:right="-108"/>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vertAlign w:val="superscript"/>
                <w:lang w:eastAsia="en-US"/>
              </w:rPr>
            </w:pPr>
            <w:r w:rsidRPr="00C43FB6">
              <w:rPr>
                <w:rFonts w:eastAsia="Arial Unicode MS" w:cs="Tahoma"/>
                <w:b/>
                <w:bCs/>
                <w:iCs/>
                <w:szCs w:val="16"/>
                <w:lang w:eastAsia="en-US"/>
              </w:rPr>
              <w:t>Presupuesto programado</w:t>
            </w:r>
          </w:p>
        </w:tc>
        <w:tc>
          <w:tcPr>
            <w:tcW w:w="360" w:type="pct"/>
            <w:shd w:val="clear" w:color="auto" w:fill="003A70"/>
            <w:vAlign w:val="center"/>
          </w:tcPr>
          <w:p w14:paraId="625527FD" w14:textId="77777777" w:rsidR="006D3EDA" w:rsidRPr="00C43FB6" w:rsidRDefault="006D3EDA" w:rsidP="005B79CC">
            <w:pPr>
              <w:spacing w:line="259" w:lineRule="auto"/>
              <w:ind w:left="-108" w:right="-108"/>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lang w:eastAsia="en-US"/>
              </w:rPr>
            </w:pPr>
            <w:r w:rsidRPr="00C43FB6">
              <w:rPr>
                <w:rFonts w:eastAsia="Arial Unicode MS" w:cs="Tahoma"/>
                <w:b/>
                <w:bCs/>
                <w:iCs/>
                <w:szCs w:val="16"/>
                <w:lang w:eastAsia="en-US"/>
              </w:rPr>
              <w:t xml:space="preserve">Monto ejecutado </w:t>
            </w:r>
          </w:p>
        </w:tc>
        <w:tc>
          <w:tcPr>
            <w:tcW w:w="263" w:type="pct"/>
            <w:shd w:val="clear" w:color="auto" w:fill="003A70"/>
            <w:vAlign w:val="center"/>
          </w:tcPr>
          <w:p w14:paraId="77EC0A2B" w14:textId="77777777" w:rsidR="006D3EDA" w:rsidRPr="00C43FB6" w:rsidRDefault="006D3EDA" w:rsidP="005B79CC">
            <w:pPr>
              <w:spacing w:line="259" w:lineRule="auto"/>
              <w:ind w:left="-108" w:right="-108"/>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vertAlign w:val="superscript"/>
                <w:lang w:eastAsia="en-US"/>
              </w:rPr>
            </w:pPr>
            <w:r w:rsidRPr="00C43FB6">
              <w:rPr>
                <w:rFonts w:eastAsia="Arial Unicode MS" w:cs="Tahoma"/>
                <w:b/>
                <w:bCs/>
                <w:iCs/>
                <w:szCs w:val="16"/>
                <w:lang w:eastAsia="en-US"/>
              </w:rPr>
              <w:t>Información cualitativa</w:t>
            </w:r>
          </w:p>
        </w:tc>
        <w:tc>
          <w:tcPr>
            <w:tcW w:w="262" w:type="pct"/>
            <w:vMerge/>
            <w:shd w:val="clear" w:color="auto" w:fill="003A70"/>
            <w:vAlign w:val="center"/>
          </w:tcPr>
          <w:p w14:paraId="354F1E17" w14:textId="77777777" w:rsidR="006D3EDA" w:rsidRPr="00C43FB6" w:rsidRDefault="006D3EDA" w:rsidP="005B79CC">
            <w:pPr>
              <w:spacing w:line="259" w:lineRule="auto"/>
              <w:ind w:left="-108" w:right="-108"/>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lang w:eastAsia="en-US"/>
              </w:rPr>
            </w:pPr>
          </w:p>
        </w:tc>
        <w:tc>
          <w:tcPr>
            <w:tcW w:w="328" w:type="pct"/>
            <w:vMerge/>
            <w:shd w:val="clear" w:color="auto" w:fill="003A70"/>
            <w:vAlign w:val="center"/>
          </w:tcPr>
          <w:p w14:paraId="3742259B" w14:textId="77777777" w:rsidR="006D3EDA" w:rsidRPr="00C43FB6" w:rsidRDefault="006D3EDA" w:rsidP="005B79CC">
            <w:pPr>
              <w:spacing w:line="259" w:lineRule="auto"/>
              <w:ind w:left="-108" w:right="-108"/>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lang w:eastAsia="en-US"/>
              </w:rPr>
            </w:pPr>
          </w:p>
        </w:tc>
        <w:tc>
          <w:tcPr>
            <w:tcW w:w="918" w:type="pct"/>
            <w:shd w:val="clear" w:color="auto" w:fill="003A70"/>
            <w:vAlign w:val="center"/>
          </w:tcPr>
          <w:p w14:paraId="7FA98F8F" w14:textId="77777777" w:rsidR="006D3EDA" w:rsidRPr="00C43FB6" w:rsidRDefault="006D3EDA" w:rsidP="005B79CC">
            <w:pPr>
              <w:spacing w:line="259" w:lineRule="auto"/>
              <w:ind w:right="-100"/>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lang w:eastAsia="en-US"/>
              </w:rPr>
            </w:pPr>
            <w:r w:rsidRPr="00C43FB6">
              <w:rPr>
                <w:rFonts w:eastAsia="Arial Unicode MS" w:cs="Tahoma"/>
                <w:b/>
                <w:bCs/>
                <w:iCs/>
                <w:szCs w:val="16"/>
                <w:lang w:eastAsia="en-US"/>
              </w:rPr>
              <w:t>Limitaciones relacionadas con los riesgos que impiden/retrasan el cumplimiento de la meta.</w:t>
            </w:r>
          </w:p>
        </w:tc>
        <w:tc>
          <w:tcPr>
            <w:tcW w:w="675" w:type="pct"/>
            <w:shd w:val="clear" w:color="auto" w:fill="003A70"/>
            <w:vAlign w:val="center"/>
          </w:tcPr>
          <w:p w14:paraId="26F56281" w14:textId="77777777" w:rsidR="006D3EDA" w:rsidRPr="00C43FB6" w:rsidRDefault="006D3EDA" w:rsidP="005B79CC">
            <w:pPr>
              <w:spacing w:line="259" w:lineRule="auto"/>
              <w:ind w:left="-108" w:right="-108"/>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lang w:eastAsia="en-US"/>
              </w:rPr>
            </w:pPr>
            <w:r w:rsidRPr="00C43FB6">
              <w:rPr>
                <w:rFonts w:eastAsia="Arial Unicode MS" w:cs="Tahoma"/>
                <w:b/>
                <w:bCs/>
                <w:iCs/>
                <w:szCs w:val="16"/>
                <w:lang w:eastAsia="en-US"/>
              </w:rPr>
              <w:t>Lecciones aprendidas</w:t>
            </w:r>
          </w:p>
        </w:tc>
      </w:tr>
      <w:tr w:rsidR="005852D5" w:rsidRPr="00C43FB6" w14:paraId="1A724392" w14:textId="77777777" w:rsidTr="008A31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25" w:type="pct"/>
            <w:shd w:val="clear" w:color="auto" w:fill="F2F2F2" w:themeFill="background1" w:themeFillShade="F2"/>
          </w:tcPr>
          <w:p w14:paraId="1546F167" w14:textId="7B4F8036" w:rsidR="005852D5" w:rsidRPr="00C43FB6" w:rsidRDefault="005852D5" w:rsidP="0032678E">
            <w:pPr>
              <w:spacing w:line="259" w:lineRule="auto"/>
              <w:jc w:val="both"/>
              <w:rPr>
                <w:rFonts w:eastAsia="Arial Unicode MS" w:cs="Tahoma"/>
                <w:b/>
                <w:color w:val="auto"/>
                <w:szCs w:val="16"/>
                <w:lang w:eastAsia="en-US"/>
              </w:rPr>
            </w:pPr>
            <w:r w:rsidRPr="00462C13">
              <w:rPr>
                <w:rFonts w:cs="Tahoma"/>
                <w:b/>
                <w:bCs w:val="0"/>
                <w:szCs w:val="22"/>
              </w:rPr>
              <w:t>1.2.</w:t>
            </w:r>
            <w:r w:rsidRPr="00462C13">
              <w:rPr>
                <w:rFonts w:cs="Tahoma"/>
                <w:szCs w:val="22"/>
              </w:rPr>
              <w:t xml:space="preserve"> Implementar acciones en conjunto con los actores sociales que intervienen en los procesos de ejecución de las medidas privativas de libertad, para la adecuada inserción social de la población penitenciaria.</w:t>
            </w:r>
          </w:p>
        </w:tc>
        <w:tc>
          <w:tcPr>
            <w:tcW w:w="360" w:type="pct"/>
            <w:shd w:val="clear" w:color="auto" w:fill="F2F2F2" w:themeFill="background1" w:themeFillShade="F2"/>
          </w:tcPr>
          <w:p w14:paraId="03BAC563" w14:textId="53726146" w:rsidR="005852D5" w:rsidRPr="00C43FB6" w:rsidRDefault="005852D5" w:rsidP="0032678E">
            <w:pPr>
              <w:spacing w:line="259" w:lineRule="auto"/>
              <w:cnfStyle w:val="000000100000" w:firstRow="0" w:lastRow="0" w:firstColumn="0" w:lastColumn="0" w:oddVBand="0" w:evenVBand="0" w:oddHBand="1" w:evenHBand="0" w:firstRowFirstColumn="0" w:firstRowLastColumn="0" w:lastRowFirstColumn="0" w:lastRowLastColumn="0"/>
              <w:rPr>
                <w:rFonts w:eastAsia="Arial Unicode MS" w:cs="Tahoma"/>
                <w:b/>
                <w:szCs w:val="16"/>
                <w:lang w:eastAsia="en-US"/>
              </w:rPr>
            </w:pPr>
            <w:r w:rsidRPr="00C43FB6">
              <w:rPr>
                <w:rFonts w:cs="Tahoma"/>
                <w:szCs w:val="16"/>
              </w:rPr>
              <w:t xml:space="preserve">A.1.2.1 </w:t>
            </w:r>
            <w:r w:rsidRPr="00033287">
              <w:rPr>
                <w:szCs w:val="16"/>
                <w:lang w:eastAsia="en-US"/>
              </w:rPr>
              <w:t>Promedio mensual de personas privadas de libertad que participan en actividades ocupacionales remuneradas y autogestionarias dentro del Sistema Penitenciario Nacional.</w:t>
            </w:r>
          </w:p>
        </w:tc>
        <w:tc>
          <w:tcPr>
            <w:tcW w:w="361" w:type="pct"/>
            <w:shd w:val="clear" w:color="auto" w:fill="F2F2F2" w:themeFill="background1" w:themeFillShade="F2"/>
          </w:tcPr>
          <w:p w14:paraId="1BB9BA16"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691639">
              <w:rPr>
                <w:b/>
                <w:szCs w:val="16"/>
                <w:lang w:eastAsia="en-US"/>
              </w:rPr>
              <w:t>202</w:t>
            </w:r>
            <w:r w:rsidRPr="00033287">
              <w:rPr>
                <w:b/>
                <w:szCs w:val="16"/>
                <w:lang w:eastAsia="en-US"/>
              </w:rPr>
              <w:t>5</w:t>
            </w:r>
            <w:r w:rsidRPr="00691639">
              <w:rPr>
                <w:b/>
                <w:szCs w:val="16"/>
                <w:lang w:eastAsia="en-US"/>
              </w:rPr>
              <w:t>:</w:t>
            </w:r>
            <w:r w:rsidRPr="00691639">
              <w:rPr>
                <w:szCs w:val="16"/>
                <w:lang w:eastAsia="en-US"/>
              </w:rPr>
              <w:t xml:space="preserve"> </w:t>
            </w:r>
            <w:r w:rsidRPr="00033287">
              <w:rPr>
                <w:szCs w:val="16"/>
                <w:lang w:eastAsia="en-US"/>
              </w:rPr>
              <w:t>5.250</w:t>
            </w:r>
          </w:p>
          <w:p w14:paraId="7C1535EC" w14:textId="77777777" w:rsidR="005852D5"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p>
          <w:p w14:paraId="106C029E" w14:textId="77777777" w:rsidR="005852D5"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p>
          <w:p w14:paraId="54C2975E" w14:textId="00D93E8D"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b/>
                <w:szCs w:val="16"/>
                <w:lang w:eastAsia="en-US"/>
              </w:rPr>
              <w:t>Región Central</w:t>
            </w:r>
          </w:p>
          <w:p w14:paraId="4835DC12"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szCs w:val="16"/>
                <w:lang w:eastAsia="en-US"/>
              </w:rPr>
              <w:t>3</w:t>
            </w:r>
            <w:r w:rsidRPr="00033287">
              <w:rPr>
                <w:szCs w:val="16"/>
                <w:lang w:eastAsia="en-US"/>
              </w:rPr>
              <w:t>.</w:t>
            </w:r>
            <w:r w:rsidRPr="00691639">
              <w:rPr>
                <w:szCs w:val="16"/>
                <w:lang w:eastAsia="en-US"/>
              </w:rPr>
              <w:t>2</w:t>
            </w:r>
            <w:r w:rsidRPr="00033287">
              <w:rPr>
                <w:szCs w:val="16"/>
                <w:lang w:eastAsia="en-US"/>
              </w:rPr>
              <w:t>60</w:t>
            </w:r>
          </w:p>
          <w:p w14:paraId="55488018"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59670597"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b/>
                <w:szCs w:val="16"/>
                <w:lang w:eastAsia="en-US"/>
              </w:rPr>
              <w:t>Región</w:t>
            </w:r>
          </w:p>
          <w:p w14:paraId="604E48C5"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b/>
                <w:szCs w:val="16"/>
                <w:lang w:eastAsia="en-US"/>
              </w:rPr>
              <w:t>Chorotega</w:t>
            </w:r>
          </w:p>
          <w:p w14:paraId="364AA261" w14:textId="77777777" w:rsidR="005852D5" w:rsidRPr="00033287"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033287">
              <w:rPr>
                <w:szCs w:val="16"/>
                <w:lang w:eastAsia="en-US"/>
              </w:rPr>
              <w:t>280</w:t>
            </w:r>
          </w:p>
          <w:p w14:paraId="684443E5"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p>
          <w:p w14:paraId="1DED8E2C"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b/>
                <w:szCs w:val="16"/>
                <w:lang w:eastAsia="en-US"/>
              </w:rPr>
              <w:t>Región Pacífico</w:t>
            </w:r>
          </w:p>
          <w:p w14:paraId="3D73E9A1"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b/>
                <w:szCs w:val="16"/>
                <w:lang w:eastAsia="en-US"/>
              </w:rPr>
              <w:t>Central</w:t>
            </w:r>
          </w:p>
          <w:p w14:paraId="22D68F72"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szCs w:val="16"/>
                <w:lang w:eastAsia="en-US"/>
              </w:rPr>
              <w:t>2</w:t>
            </w:r>
            <w:r w:rsidRPr="00033287">
              <w:rPr>
                <w:szCs w:val="16"/>
                <w:lang w:eastAsia="en-US"/>
              </w:rPr>
              <w:t>00</w:t>
            </w:r>
          </w:p>
          <w:p w14:paraId="1C49C69B"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5554F901"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b/>
                <w:szCs w:val="16"/>
                <w:lang w:eastAsia="en-US"/>
              </w:rPr>
              <w:t>Región Brunca</w:t>
            </w:r>
          </w:p>
          <w:p w14:paraId="37E18D41"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szCs w:val="16"/>
                <w:lang w:eastAsia="en-US"/>
              </w:rPr>
              <w:t>49</w:t>
            </w:r>
            <w:r w:rsidRPr="00033287">
              <w:rPr>
                <w:szCs w:val="16"/>
                <w:lang w:eastAsia="en-US"/>
              </w:rPr>
              <w:t>0</w:t>
            </w:r>
          </w:p>
          <w:p w14:paraId="62F4D40C"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6577BD9A"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b/>
                <w:szCs w:val="16"/>
                <w:lang w:eastAsia="en-US"/>
              </w:rPr>
              <w:t>Región Huetar</w:t>
            </w:r>
          </w:p>
          <w:p w14:paraId="3DB1B6B4"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b/>
                <w:szCs w:val="16"/>
                <w:lang w:eastAsia="en-US"/>
              </w:rPr>
              <w:t>Caribe</w:t>
            </w:r>
          </w:p>
          <w:p w14:paraId="65BAF799"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033287">
              <w:rPr>
                <w:szCs w:val="16"/>
                <w:lang w:eastAsia="en-US"/>
              </w:rPr>
              <w:t>900</w:t>
            </w:r>
          </w:p>
          <w:p w14:paraId="50B98B1D"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791AABE7"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b/>
                <w:szCs w:val="16"/>
                <w:lang w:eastAsia="en-US"/>
              </w:rPr>
              <w:t>Región Huetar</w:t>
            </w:r>
          </w:p>
          <w:p w14:paraId="0F41AAFE" w14:textId="77777777" w:rsidR="005852D5" w:rsidRPr="00691639"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691639">
              <w:rPr>
                <w:b/>
                <w:szCs w:val="16"/>
                <w:lang w:eastAsia="en-US"/>
              </w:rPr>
              <w:t>Norte</w:t>
            </w:r>
          </w:p>
          <w:p w14:paraId="71166433" w14:textId="65497F4E" w:rsidR="005852D5" w:rsidRPr="00C43FB6"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rFonts w:eastAsia="Arial Unicode MS" w:cs="Tahoma"/>
                <w:b/>
                <w:szCs w:val="16"/>
                <w:lang w:eastAsia="en-US"/>
              </w:rPr>
            </w:pPr>
            <w:r w:rsidRPr="00033287">
              <w:rPr>
                <w:szCs w:val="16"/>
                <w:lang w:eastAsia="en-US"/>
              </w:rPr>
              <w:t>120</w:t>
            </w:r>
          </w:p>
        </w:tc>
        <w:tc>
          <w:tcPr>
            <w:tcW w:w="361" w:type="pct"/>
            <w:shd w:val="clear" w:color="auto" w:fill="F2F2F2" w:themeFill="background1" w:themeFillShade="F2"/>
          </w:tcPr>
          <w:p w14:paraId="28C624B0"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Nacional:</w:t>
            </w:r>
            <w:r w:rsidRPr="00A5390A">
              <w:rPr>
                <w:szCs w:val="16"/>
                <w:lang w:eastAsia="en-US"/>
              </w:rPr>
              <w:t xml:space="preserve"> </w:t>
            </w:r>
            <w:r>
              <w:rPr>
                <w:szCs w:val="16"/>
                <w:lang w:eastAsia="en-US"/>
              </w:rPr>
              <w:t>4406,25</w:t>
            </w:r>
          </w:p>
          <w:p w14:paraId="547A4DDA" w14:textId="77777777" w:rsidR="005852D5"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4E06F303"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A5390A">
              <w:rPr>
                <w:b/>
                <w:szCs w:val="16"/>
                <w:lang w:eastAsia="en-US"/>
              </w:rPr>
              <w:t>Región Central</w:t>
            </w:r>
            <w:r w:rsidRPr="00A5390A">
              <w:rPr>
                <w:szCs w:val="16"/>
                <w:lang w:eastAsia="en-US"/>
              </w:rPr>
              <w:t>:</w:t>
            </w:r>
          </w:p>
          <w:p w14:paraId="7BA588D6" w14:textId="77777777" w:rsidR="005852D5"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C2661A">
              <w:rPr>
                <w:szCs w:val="16"/>
                <w:lang w:eastAsia="en-US"/>
              </w:rPr>
              <w:t>2180,42</w:t>
            </w:r>
          </w:p>
          <w:p w14:paraId="187F7647"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6CE93112"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Región</w:t>
            </w:r>
          </w:p>
          <w:p w14:paraId="490C70FB"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A5390A">
              <w:rPr>
                <w:b/>
                <w:szCs w:val="16"/>
                <w:lang w:eastAsia="en-US"/>
              </w:rPr>
              <w:t>Chorotega</w:t>
            </w:r>
            <w:r w:rsidRPr="00A5390A">
              <w:rPr>
                <w:szCs w:val="16"/>
                <w:lang w:eastAsia="en-US"/>
              </w:rPr>
              <w:t>:</w:t>
            </w:r>
          </w:p>
          <w:p w14:paraId="7D572752" w14:textId="77777777" w:rsidR="005852D5"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B527A7">
              <w:rPr>
                <w:szCs w:val="16"/>
                <w:lang w:eastAsia="en-US"/>
              </w:rPr>
              <w:t>444,4</w:t>
            </w:r>
            <w:r>
              <w:rPr>
                <w:szCs w:val="16"/>
                <w:lang w:eastAsia="en-US"/>
              </w:rPr>
              <w:t>2</w:t>
            </w:r>
          </w:p>
          <w:p w14:paraId="138C6256"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b/>
                <w:szCs w:val="16"/>
                <w:lang w:eastAsia="en-US"/>
              </w:rPr>
            </w:pPr>
          </w:p>
          <w:p w14:paraId="0BA5464D"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Región Pacífico</w:t>
            </w:r>
          </w:p>
          <w:p w14:paraId="5E86AF45"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Central:</w:t>
            </w:r>
          </w:p>
          <w:p w14:paraId="6FFEC5DA" w14:textId="77777777" w:rsidR="005852D5"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0F042C">
              <w:rPr>
                <w:szCs w:val="16"/>
                <w:lang w:eastAsia="en-US"/>
              </w:rPr>
              <w:t>259,92</w:t>
            </w:r>
          </w:p>
          <w:p w14:paraId="1BF92998"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40BD6730"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Región Brunca:</w:t>
            </w:r>
          </w:p>
          <w:p w14:paraId="3D2C7467" w14:textId="77777777" w:rsidR="005852D5"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0118D0">
              <w:rPr>
                <w:szCs w:val="16"/>
                <w:lang w:eastAsia="en-US"/>
              </w:rPr>
              <w:t>399,5</w:t>
            </w:r>
            <w:r>
              <w:rPr>
                <w:szCs w:val="16"/>
                <w:lang w:eastAsia="en-US"/>
              </w:rPr>
              <w:t>0</w:t>
            </w:r>
          </w:p>
          <w:p w14:paraId="6D7A76B2"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0E287E5B"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Región Huetar</w:t>
            </w:r>
          </w:p>
          <w:p w14:paraId="42842DEB"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Caribe:</w:t>
            </w:r>
          </w:p>
          <w:p w14:paraId="63E26770" w14:textId="77777777" w:rsidR="005852D5"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390583">
              <w:rPr>
                <w:szCs w:val="16"/>
                <w:lang w:eastAsia="en-US"/>
              </w:rPr>
              <w:t>998,42</w:t>
            </w:r>
          </w:p>
          <w:p w14:paraId="7FA71012"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47208151"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Región Huetar</w:t>
            </w:r>
          </w:p>
          <w:p w14:paraId="450DE727" w14:textId="77777777" w:rsidR="005852D5" w:rsidRPr="00A5390A" w:rsidRDefault="005852D5" w:rsidP="005852D5">
            <w:pPr>
              <w:spacing w:line="259" w:lineRule="auto"/>
              <w:ind w:left="34"/>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Norte:</w:t>
            </w:r>
          </w:p>
          <w:p w14:paraId="35F15992" w14:textId="41699E22" w:rsidR="005852D5" w:rsidRPr="003C4692" w:rsidRDefault="005852D5" w:rsidP="005852D5">
            <w:pPr>
              <w:spacing w:line="259" w:lineRule="auto"/>
              <w:jc w:val="left"/>
              <w:cnfStyle w:val="000000100000" w:firstRow="0" w:lastRow="0" w:firstColumn="0" w:lastColumn="0" w:oddVBand="0" w:evenVBand="0" w:oddHBand="1" w:evenHBand="0" w:firstRowFirstColumn="0" w:firstRowLastColumn="0" w:lastRowFirstColumn="0" w:lastRowLastColumn="0"/>
              <w:rPr>
                <w:rFonts w:eastAsia="Arial Unicode MS" w:cs="Tahoma"/>
                <w:b/>
                <w:szCs w:val="16"/>
                <w:highlight w:val="yellow"/>
                <w:lang w:eastAsia="en-US"/>
              </w:rPr>
            </w:pPr>
            <w:r w:rsidRPr="0000562A">
              <w:rPr>
                <w:szCs w:val="16"/>
                <w:lang w:eastAsia="en-US"/>
              </w:rPr>
              <w:t>123,58</w:t>
            </w:r>
          </w:p>
        </w:tc>
        <w:tc>
          <w:tcPr>
            <w:tcW w:w="426" w:type="pct"/>
            <w:shd w:val="clear" w:color="auto" w:fill="F2F2F2" w:themeFill="background1" w:themeFillShade="F2"/>
          </w:tcPr>
          <w:p w14:paraId="4F4981CE"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bCs/>
                <w:szCs w:val="16"/>
                <w:lang w:eastAsia="en-US"/>
              </w:rPr>
            </w:pPr>
            <w:r w:rsidRPr="00A5390A">
              <w:rPr>
                <w:b/>
                <w:szCs w:val="16"/>
                <w:lang w:eastAsia="en-US"/>
              </w:rPr>
              <w:t>Nacional</w:t>
            </w:r>
            <w:r w:rsidRPr="00A5390A">
              <w:rPr>
                <w:szCs w:val="16"/>
                <w:lang w:eastAsia="en-US"/>
              </w:rPr>
              <w:t xml:space="preserve">: </w:t>
            </w:r>
            <w:r>
              <w:rPr>
                <w:szCs w:val="16"/>
                <w:lang w:eastAsia="en-US"/>
              </w:rPr>
              <w:t>83,93</w:t>
            </w:r>
            <w:r w:rsidRPr="00A5390A">
              <w:rPr>
                <w:szCs w:val="16"/>
                <w:lang w:eastAsia="en-US"/>
              </w:rPr>
              <w:t>%</w:t>
            </w:r>
          </w:p>
          <w:p w14:paraId="52058FAE"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Pr>
                <w:szCs w:val="16"/>
                <w:lang w:eastAsia="en-US"/>
              </w:rPr>
              <w:t>4406,25</w:t>
            </w:r>
            <w:r w:rsidRPr="00A5390A">
              <w:rPr>
                <w:szCs w:val="16"/>
                <w:lang w:eastAsia="en-US"/>
              </w:rPr>
              <w:t>/5.250*</w:t>
            </w:r>
            <w:r>
              <w:rPr>
                <w:szCs w:val="16"/>
                <w:lang w:eastAsia="en-US"/>
              </w:rPr>
              <w:t xml:space="preserve"> </w:t>
            </w:r>
            <w:r w:rsidRPr="00A5390A">
              <w:rPr>
                <w:szCs w:val="16"/>
                <w:lang w:eastAsia="en-US"/>
              </w:rPr>
              <w:t>100</w:t>
            </w:r>
          </w:p>
          <w:p w14:paraId="3A65E9DE"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72C9B373"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Región Central:</w:t>
            </w:r>
          </w:p>
          <w:p w14:paraId="3EF63FC2"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C2661A">
              <w:rPr>
                <w:szCs w:val="16"/>
                <w:lang w:eastAsia="en-US"/>
              </w:rPr>
              <w:t>66,88%</w:t>
            </w:r>
          </w:p>
          <w:p w14:paraId="07F8CE6C"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6F13A9A6"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Región</w:t>
            </w:r>
          </w:p>
          <w:p w14:paraId="606029C8"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Chorotega:</w:t>
            </w:r>
          </w:p>
          <w:p w14:paraId="642FCDD2"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B527A7">
              <w:rPr>
                <w:szCs w:val="16"/>
                <w:lang w:eastAsia="en-US"/>
              </w:rPr>
              <w:t>158,72%</w:t>
            </w:r>
          </w:p>
          <w:p w14:paraId="18F7EE46"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p>
          <w:p w14:paraId="7A7CA601"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Región Pacífico</w:t>
            </w:r>
          </w:p>
          <w:p w14:paraId="1AF96582"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Central:</w:t>
            </w:r>
          </w:p>
          <w:p w14:paraId="6CB7EA7D"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000257">
              <w:rPr>
                <w:szCs w:val="16"/>
                <w:lang w:eastAsia="en-US"/>
              </w:rPr>
              <w:t>129,96%</w:t>
            </w:r>
          </w:p>
          <w:p w14:paraId="66ABBB70"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6542A59B"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Región Brunca:</w:t>
            </w:r>
          </w:p>
          <w:p w14:paraId="48D8170E"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0118D0">
              <w:rPr>
                <w:szCs w:val="16"/>
                <w:lang w:eastAsia="en-US"/>
              </w:rPr>
              <w:t>81,53%</w:t>
            </w:r>
          </w:p>
          <w:p w14:paraId="24F95592"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p>
          <w:p w14:paraId="0C548195"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Región Huetar</w:t>
            </w:r>
          </w:p>
          <w:p w14:paraId="20FBE5CE"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Caribe:</w:t>
            </w:r>
          </w:p>
          <w:p w14:paraId="7AABDDE8"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390583">
              <w:rPr>
                <w:szCs w:val="16"/>
                <w:lang w:eastAsia="en-US"/>
              </w:rPr>
              <w:t>110,94%</w:t>
            </w:r>
          </w:p>
          <w:p w14:paraId="2E6D17D3"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szCs w:val="16"/>
                <w:lang w:eastAsia="en-US"/>
              </w:rPr>
            </w:pPr>
          </w:p>
          <w:p w14:paraId="2A37CDF3"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Región Huetar</w:t>
            </w:r>
          </w:p>
          <w:p w14:paraId="39E4A404" w14:textId="77777777" w:rsidR="005852D5" w:rsidRPr="00A5390A" w:rsidRDefault="005852D5" w:rsidP="005852D5">
            <w:pPr>
              <w:spacing w:line="259" w:lineRule="auto"/>
              <w:ind w:left="65"/>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A5390A">
              <w:rPr>
                <w:b/>
                <w:szCs w:val="16"/>
                <w:lang w:eastAsia="en-US"/>
              </w:rPr>
              <w:t>Norte:</w:t>
            </w:r>
          </w:p>
          <w:p w14:paraId="3E4EAAA6" w14:textId="137504E6" w:rsidR="005852D5" w:rsidRPr="003C4692" w:rsidRDefault="005852D5" w:rsidP="005852D5">
            <w:pPr>
              <w:spacing w:line="259" w:lineRule="auto"/>
              <w:ind w:right="-108"/>
              <w:jc w:val="left"/>
              <w:cnfStyle w:val="000000100000" w:firstRow="0" w:lastRow="0" w:firstColumn="0" w:lastColumn="0" w:oddVBand="0" w:evenVBand="0" w:oddHBand="1" w:evenHBand="0" w:firstRowFirstColumn="0" w:firstRowLastColumn="0" w:lastRowFirstColumn="0" w:lastRowLastColumn="0"/>
              <w:rPr>
                <w:rFonts w:eastAsia="Arial Unicode MS" w:cs="Tahoma"/>
                <w:b/>
                <w:szCs w:val="16"/>
                <w:highlight w:val="yellow"/>
                <w:lang w:eastAsia="en-US"/>
              </w:rPr>
            </w:pPr>
            <w:r w:rsidRPr="00A5390A">
              <w:rPr>
                <w:szCs w:val="16"/>
                <w:lang w:eastAsia="en-US"/>
              </w:rPr>
              <w:t xml:space="preserve">  </w:t>
            </w:r>
            <w:r w:rsidRPr="0000562A">
              <w:rPr>
                <w:szCs w:val="16"/>
                <w:lang w:eastAsia="en-US"/>
              </w:rPr>
              <w:t>102,99%</w:t>
            </w:r>
          </w:p>
        </w:tc>
        <w:tc>
          <w:tcPr>
            <w:tcW w:w="361" w:type="pct"/>
            <w:shd w:val="clear" w:color="auto" w:fill="F2F2F2" w:themeFill="background1" w:themeFillShade="F2"/>
          </w:tcPr>
          <w:p w14:paraId="22416943" w14:textId="77777777" w:rsidR="005852D5" w:rsidRDefault="005852D5" w:rsidP="005852D5">
            <w:pPr>
              <w:spacing w:line="259" w:lineRule="auto"/>
              <w:ind w:right="-108"/>
              <w:jc w:val="left"/>
              <w:cnfStyle w:val="000000100000" w:firstRow="0" w:lastRow="0" w:firstColumn="0" w:lastColumn="0" w:oddVBand="0" w:evenVBand="0" w:oddHBand="1" w:evenHBand="0" w:firstRowFirstColumn="0" w:firstRowLastColumn="0" w:lastRowFirstColumn="0" w:lastRowLastColumn="0"/>
              <w:rPr>
                <w:szCs w:val="16"/>
              </w:rPr>
            </w:pPr>
            <w:r>
              <w:rPr>
                <w:szCs w:val="16"/>
              </w:rPr>
              <w:t>₡ 4 350 802 000,00</w:t>
            </w:r>
          </w:p>
          <w:p w14:paraId="426FF194" w14:textId="77777777" w:rsidR="005852D5" w:rsidRDefault="005852D5" w:rsidP="005852D5">
            <w:pPr>
              <w:spacing w:line="259" w:lineRule="auto"/>
              <w:ind w:right="-108"/>
              <w:jc w:val="left"/>
              <w:cnfStyle w:val="000000100000" w:firstRow="0" w:lastRow="0" w:firstColumn="0" w:lastColumn="0" w:oddVBand="0" w:evenVBand="0" w:oddHBand="1" w:evenHBand="0" w:firstRowFirstColumn="0" w:firstRowLastColumn="0" w:lastRowFirstColumn="0" w:lastRowLastColumn="0"/>
              <w:rPr>
                <w:szCs w:val="16"/>
              </w:rPr>
            </w:pPr>
          </w:p>
          <w:p w14:paraId="5B93841E" w14:textId="77777777" w:rsidR="005852D5" w:rsidRPr="00B72033" w:rsidRDefault="005852D5" w:rsidP="005852D5">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B72033">
              <w:rPr>
                <w:rFonts w:ascii="Tahoma" w:hAnsi="Tahoma" w:cs="Tahoma"/>
                <w:b/>
                <w:bCs/>
                <w:sz w:val="16"/>
                <w:szCs w:val="16"/>
              </w:rPr>
              <w:t>Nota</w:t>
            </w:r>
            <w:r w:rsidRPr="00B72033">
              <w:rPr>
                <w:rFonts w:ascii="Tahoma" w:hAnsi="Tahoma" w:cs="Tahoma"/>
                <w:sz w:val="16"/>
                <w:szCs w:val="16"/>
              </w:rPr>
              <w:t xml:space="preserve">: el presupuesto es compartido con los indicadores regionales de esta intervención pública. </w:t>
            </w:r>
          </w:p>
          <w:p w14:paraId="60E5D233" w14:textId="0B499E0F" w:rsidR="005852D5" w:rsidRPr="00C43FB6" w:rsidRDefault="005852D5" w:rsidP="005852D5">
            <w:pPr>
              <w:spacing w:line="259" w:lineRule="auto"/>
              <w:ind w:right="-108"/>
              <w:jc w:val="left"/>
              <w:cnfStyle w:val="000000100000" w:firstRow="0" w:lastRow="0" w:firstColumn="0" w:lastColumn="0" w:oddVBand="0" w:evenVBand="0" w:oddHBand="1" w:evenHBand="0" w:firstRowFirstColumn="0" w:firstRowLastColumn="0" w:lastRowFirstColumn="0" w:lastRowLastColumn="0"/>
              <w:rPr>
                <w:rFonts w:eastAsia="Arial Unicode MS" w:cs="Tahoma"/>
                <w:b/>
                <w:szCs w:val="16"/>
                <w:lang w:eastAsia="en-US"/>
              </w:rPr>
            </w:pPr>
          </w:p>
        </w:tc>
        <w:tc>
          <w:tcPr>
            <w:tcW w:w="360" w:type="pct"/>
            <w:shd w:val="clear" w:color="auto" w:fill="F2F2F2" w:themeFill="background1" w:themeFillShade="F2"/>
          </w:tcPr>
          <w:p w14:paraId="6BBDE955" w14:textId="538CA9A0" w:rsidR="005852D5" w:rsidRPr="00C43FB6" w:rsidRDefault="005852D5" w:rsidP="005852D5">
            <w:pPr>
              <w:spacing w:line="259" w:lineRule="auto"/>
              <w:ind w:right="-108"/>
              <w:jc w:val="left"/>
              <w:cnfStyle w:val="000000100000" w:firstRow="0" w:lastRow="0" w:firstColumn="0" w:lastColumn="0" w:oddVBand="0" w:evenVBand="0" w:oddHBand="1" w:evenHBand="0" w:firstRowFirstColumn="0" w:firstRowLastColumn="0" w:lastRowFirstColumn="0" w:lastRowLastColumn="0"/>
              <w:rPr>
                <w:rFonts w:eastAsia="Arial Unicode MS" w:cs="Tahoma"/>
                <w:b/>
                <w:szCs w:val="16"/>
                <w:highlight w:val="yellow"/>
                <w:lang w:eastAsia="en-US"/>
              </w:rPr>
            </w:pPr>
            <w:r>
              <w:rPr>
                <w:szCs w:val="16"/>
              </w:rPr>
              <w:t>₡ 4 350 802 000,00</w:t>
            </w:r>
          </w:p>
        </w:tc>
        <w:tc>
          <w:tcPr>
            <w:tcW w:w="263" w:type="pct"/>
            <w:shd w:val="clear" w:color="auto" w:fill="F2F2F2" w:themeFill="background1" w:themeFillShade="F2"/>
          </w:tcPr>
          <w:p w14:paraId="6FAD56EA" w14:textId="77777777" w:rsidR="005852D5" w:rsidRPr="00C43FB6" w:rsidRDefault="005852D5" w:rsidP="005852D5">
            <w:pPr>
              <w:pStyle w:val="Prrafodelista"/>
              <w:spacing w:line="259" w:lineRule="auto"/>
              <w:ind w:left="98" w:right="-108"/>
              <w:cnfStyle w:val="000000100000" w:firstRow="0" w:lastRow="0" w:firstColumn="0" w:lastColumn="0" w:oddVBand="0" w:evenVBand="0" w:oddHBand="1" w:evenHBand="0" w:firstRowFirstColumn="0" w:firstRowLastColumn="0" w:lastRowFirstColumn="0" w:lastRowLastColumn="0"/>
              <w:rPr>
                <w:rFonts w:eastAsia="Arial Unicode MS" w:cs="Tahoma"/>
                <w:szCs w:val="16"/>
              </w:rPr>
            </w:pPr>
            <w:r w:rsidRPr="00C43FB6">
              <w:rPr>
                <w:rFonts w:eastAsia="Arial" w:cs="Tahoma"/>
                <w:szCs w:val="16"/>
              </w:rPr>
              <w:t>No aplica</w:t>
            </w:r>
          </w:p>
        </w:tc>
        <w:tc>
          <w:tcPr>
            <w:tcW w:w="262" w:type="pct"/>
            <w:shd w:val="clear" w:color="auto" w:fill="F2F2F2" w:themeFill="background1" w:themeFillShade="F2"/>
          </w:tcPr>
          <w:p w14:paraId="67EC44B8" w14:textId="77777777" w:rsidR="005852D5" w:rsidRPr="00C43FB6" w:rsidRDefault="005852D5" w:rsidP="005852D5">
            <w:pPr>
              <w:spacing w:line="259" w:lineRule="auto"/>
              <w:ind w:right="-108"/>
              <w:jc w:val="left"/>
              <w:cnfStyle w:val="000000100000" w:firstRow="0" w:lastRow="0" w:firstColumn="0" w:lastColumn="0" w:oddVBand="0" w:evenVBand="0" w:oddHBand="1" w:evenHBand="0" w:firstRowFirstColumn="0" w:firstRowLastColumn="0" w:lastRowFirstColumn="0" w:lastRowLastColumn="0"/>
              <w:rPr>
                <w:rFonts w:eastAsia="Arial Unicode MS" w:cs="Tahoma"/>
                <w:b/>
                <w:szCs w:val="16"/>
                <w:lang w:eastAsia="en-US"/>
              </w:rPr>
            </w:pPr>
            <w:r w:rsidRPr="00C43FB6">
              <w:rPr>
                <w:rFonts w:eastAsia="Arial Unicode MS" w:cs="Tahoma"/>
                <w:szCs w:val="16"/>
                <w:lang w:eastAsia="en-US"/>
              </w:rPr>
              <w:t>Ministerio de</w:t>
            </w:r>
          </w:p>
          <w:p w14:paraId="6E152E78" w14:textId="77777777" w:rsidR="005852D5" w:rsidRPr="00C43FB6" w:rsidRDefault="005852D5" w:rsidP="005852D5">
            <w:pPr>
              <w:spacing w:line="259" w:lineRule="auto"/>
              <w:ind w:right="-108"/>
              <w:jc w:val="left"/>
              <w:cnfStyle w:val="000000100000" w:firstRow="0" w:lastRow="0" w:firstColumn="0" w:lastColumn="0" w:oddVBand="0" w:evenVBand="0" w:oddHBand="1" w:evenHBand="0" w:firstRowFirstColumn="0" w:firstRowLastColumn="0" w:lastRowFirstColumn="0" w:lastRowLastColumn="0"/>
              <w:rPr>
                <w:rFonts w:eastAsia="Arial Unicode MS" w:cs="Tahoma"/>
                <w:b/>
                <w:szCs w:val="16"/>
                <w:lang w:eastAsia="en-US"/>
              </w:rPr>
            </w:pPr>
            <w:r w:rsidRPr="00C43FB6">
              <w:rPr>
                <w:rFonts w:eastAsia="Arial Unicode MS" w:cs="Tahoma"/>
                <w:szCs w:val="16"/>
                <w:lang w:eastAsia="en-US"/>
              </w:rPr>
              <w:t>Justicia y Paz.</w:t>
            </w:r>
          </w:p>
          <w:p w14:paraId="3DA49373" w14:textId="77777777" w:rsidR="005852D5" w:rsidRPr="00C43FB6" w:rsidRDefault="005852D5" w:rsidP="005852D5">
            <w:pPr>
              <w:spacing w:line="259" w:lineRule="auto"/>
              <w:ind w:right="-108"/>
              <w:jc w:val="left"/>
              <w:cnfStyle w:val="000000100000" w:firstRow="0" w:lastRow="0" w:firstColumn="0" w:lastColumn="0" w:oddVBand="0" w:evenVBand="0" w:oddHBand="1" w:evenHBand="0" w:firstRowFirstColumn="0" w:firstRowLastColumn="0" w:lastRowFirstColumn="0" w:lastRowLastColumn="0"/>
              <w:rPr>
                <w:rFonts w:eastAsia="Arial Unicode MS" w:cs="Tahoma"/>
                <w:b/>
                <w:szCs w:val="16"/>
                <w:lang w:eastAsia="en-US"/>
              </w:rPr>
            </w:pPr>
            <w:r w:rsidRPr="00C43FB6">
              <w:rPr>
                <w:rFonts w:eastAsia="Arial Unicode MS" w:cs="Tahoma"/>
                <w:szCs w:val="16"/>
                <w:lang w:eastAsia="en-US"/>
              </w:rPr>
              <w:t>Dirección General</w:t>
            </w:r>
          </w:p>
          <w:p w14:paraId="6DB9854E" w14:textId="77777777" w:rsidR="005852D5" w:rsidRPr="00C43FB6" w:rsidRDefault="005852D5" w:rsidP="003932D7">
            <w:pPr>
              <w:spacing w:line="259" w:lineRule="auto"/>
              <w:ind w:right="-108"/>
              <w:jc w:val="center"/>
              <w:cnfStyle w:val="000000100000" w:firstRow="0" w:lastRow="0" w:firstColumn="0" w:lastColumn="0" w:oddVBand="0" w:evenVBand="0" w:oddHBand="1" w:evenHBand="0" w:firstRowFirstColumn="0" w:firstRowLastColumn="0" w:lastRowFirstColumn="0" w:lastRowLastColumn="0"/>
              <w:rPr>
                <w:rFonts w:eastAsia="Arial Unicode MS" w:cs="Tahoma"/>
                <w:b/>
                <w:szCs w:val="16"/>
                <w:lang w:eastAsia="en-US"/>
              </w:rPr>
            </w:pPr>
            <w:r w:rsidRPr="00C43FB6">
              <w:rPr>
                <w:rFonts w:eastAsia="Arial Unicode MS" w:cs="Tahoma"/>
                <w:szCs w:val="16"/>
                <w:lang w:eastAsia="en-US"/>
              </w:rPr>
              <w:t>de Adaptación</w:t>
            </w:r>
          </w:p>
          <w:p w14:paraId="013BFC13" w14:textId="77777777" w:rsidR="005852D5" w:rsidRPr="00C43FB6" w:rsidRDefault="005852D5" w:rsidP="005852D5">
            <w:pPr>
              <w:spacing w:line="259" w:lineRule="auto"/>
              <w:ind w:right="-108"/>
              <w:jc w:val="left"/>
              <w:cnfStyle w:val="000000100000" w:firstRow="0" w:lastRow="0" w:firstColumn="0" w:lastColumn="0" w:oddVBand="0" w:evenVBand="0" w:oddHBand="1" w:evenHBand="0" w:firstRowFirstColumn="0" w:firstRowLastColumn="0" w:lastRowFirstColumn="0" w:lastRowLastColumn="0"/>
              <w:rPr>
                <w:rFonts w:eastAsia="Arial Unicode MS" w:cs="Tahoma"/>
                <w:b/>
                <w:szCs w:val="16"/>
                <w:lang w:eastAsia="en-US"/>
              </w:rPr>
            </w:pPr>
            <w:r w:rsidRPr="00C43FB6">
              <w:rPr>
                <w:rFonts w:eastAsia="Arial Unicode MS" w:cs="Tahoma"/>
                <w:szCs w:val="16"/>
                <w:lang w:eastAsia="en-US"/>
              </w:rPr>
              <w:t>Social (DGAS).</w:t>
            </w:r>
          </w:p>
        </w:tc>
        <w:tc>
          <w:tcPr>
            <w:tcW w:w="328" w:type="pct"/>
            <w:shd w:val="clear" w:color="auto" w:fill="FFFF00"/>
          </w:tcPr>
          <w:p w14:paraId="75420664" w14:textId="77777777" w:rsidR="005852D5" w:rsidRPr="003932D7" w:rsidRDefault="005852D5" w:rsidP="003932D7">
            <w:pPr>
              <w:spacing w:line="259" w:lineRule="auto"/>
              <w:ind w:left="10"/>
              <w:jc w:val="center"/>
              <w:cnfStyle w:val="000000100000" w:firstRow="0" w:lastRow="0" w:firstColumn="0" w:lastColumn="0" w:oddVBand="0" w:evenVBand="0" w:oddHBand="1" w:evenHBand="0" w:firstRowFirstColumn="0" w:firstRowLastColumn="0" w:lastRowFirstColumn="0" w:lastRowLastColumn="0"/>
              <w:rPr>
                <w:rFonts w:eastAsia="Arial Unicode MS" w:cs="Tahoma"/>
                <w:b/>
                <w:bCs/>
                <w:szCs w:val="16"/>
                <w:lang w:eastAsia="en-US"/>
              </w:rPr>
            </w:pPr>
            <w:r w:rsidRPr="003932D7">
              <w:rPr>
                <w:rFonts w:eastAsia="Arial Unicode MS" w:cs="Tahoma"/>
                <w:b/>
                <w:bCs/>
                <w:szCs w:val="16"/>
                <w:lang w:eastAsia="en-US"/>
              </w:rPr>
              <w:t>Nacional</w:t>
            </w:r>
          </w:p>
          <w:p w14:paraId="00FC31F4" w14:textId="77777777" w:rsidR="005852D5" w:rsidRPr="00C43FB6" w:rsidRDefault="005852D5" w:rsidP="005852D5">
            <w:pPr>
              <w:spacing w:line="259" w:lineRule="auto"/>
              <w:ind w:left="-108"/>
              <w:jc w:val="left"/>
              <w:cnfStyle w:val="000000100000" w:firstRow="0" w:lastRow="0" w:firstColumn="0" w:lastColumn="0" w:oddVBand="0" w:evenVBand="0" w:oddHBand="1" w:evenHBand="0" w:firstRowFirstColumn="0" w:firstRowLastColumn="0" w:lastRowFirstColumn="0" w:lastRowLastColumn="0"/>
              <w:rPr>
                <w:rFonts w:eastAsia="Arial Unicode MS" w:cs="Tahoma"/>
                <w:b/>
                <w:szCs w:val="16"/>
                <w:lang w:eastAsia="en-US"/>
              </w:rPr>
            </w:pPr>
          </w:p>
          <w:p w14:paraId="661513D0" w14:textId="77777777" w:rsidR="005852D5" w:rsidRPr="00C43FB6" w:rsidRDefault="005852D5" w:rsidP="005852D5">
            <w:pPr>
              <w:spacing w:line="259" w:lineRule="auto"/>
              <w:ind w:left="-108"/>
              <w:jc w:val="left"/>
              <w:cnfStyle w:val="000000100000" w:firstRow="0" w:lastRow="0" w:firstColumn="0" w:lastColumn="0" w:oddVBand="0" w:evenVBand="0" w:oddHBand="1" w:evenHBand="0" w:firstRowFirstColumn="0" w:firstRowLastColumn="0" w:lastRowFirstColumn="0" w:lastRowLastColumn="0"/>
              <w:rPr>
                <w:rFonts w:eastAsia="Arial Unicode MS" w:cs="Tahoma"/>
                <w:b/>
                <w:szCs w:val="16"/>
                <w:lang w:eastAsia="en-US"/>
              </w:rPr>
            </w:pPr>
          </w:p>
          <w:p w14:paraId="51A5F8EA" w14:textId="77777777" w:rsidR="005852D5" w:rsidRPr="00C43FB6" w:rsidRDefault="005852D5" w:rsidP="005852D5">
            <w:pPr>
              <w:spacing w:line="259" w:lineRule="auto"/>
              <w:ind w:left="-108"/>
              <w:jc w:val="left"/>
              <w:cnfStyle w:val="000000100000" w:firstRow="0" w:lastRow="0" w:firstColumn="0" w:lastColumn="0" w:oddVBand="0" w:evenVBand="0" w:oddHBand="1" w:evenHBand="0" w:firstRowFirstColumn="0" w:firstRowLastColumn="0" w:lastRowFirstColumn="0" w:lastRowLastColumn="0"/>
              <w:rPr>
                <w:rFonts w:eastAsia="Arial Unicode MS" w:cs="Tahoma"/>
                <w:bCs/>
                <w:szCs w:val="16"/>
                <w:lang w:eastAsia="en-US"/>
              </w:rPr>
            </w:pPr>
          </w:p>
          <w:p w14:paraId="674B12F4" w14:textId="77777777" w:rsidR="005852D5" w:rsidRPr="00C43FB6" w:rsidRDefault="005852D5" w:rsidP="005852D5">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Unicode MS" w:cs="Tahoma"/>
                <w:b/>
                <w:bCs/>
                <w:szCs w:val="16"/>
                <w:lang w:eastAsia="en-US"/>
              </w:rPr>
            </w:pPr>
            <w:r w:rsidRPr="00C43FB6">
              <w:rPr>
                <w:rFonts w:eastAsia="Arial Unicode MS" w:cs="Tahoma"/>
                <w:b/>
                <w:szCs w:val="16"/>
                <w:lang w:eastAsia="en-US"/>
              </w:rPr>
              <w:t>Cumplimiento medio</w:t>
            </w:r>
          </w:p>
          <w:p w14:paraId="462314B3" w14:textId="77777777" w:rsidR="005852D5" w:rsidRPr="00C43FB6" w:rsidRDefault="005852D5" w:rsidP="005852D5">
            <w:pPr>
              <w:spacing w:line="259" w:lineRule="auto"/>
              <w:ind w:left="-108" w:right="-108"/>
              <w:jc w:val="left"/>
              <w:cnfStyle w:val="000000100000" w:firstRow="0" w:lastRow="0" w:firstColumn="0" w:lastColumn="0" w:oddVBand="0" w:evenVBand="0" w:oddHBand="1" w:evenHBand="0" w:firstRowFirstColumn="0" w:firstRowLastColumn="0" w:lastRowFirstColumn="0" w:lastRowLastColumn="0"/>
              <w:rPr>
                <w:rFonts w:eastAsia="Arial Unicode MS" w:cs="Tahoma"/>
                <w:b/>
                <w:bCs/>
                <w:szCs w:val="16"/>
                <w:lang w:eastAsia="en-US"/>
              </w:rPr>
            </w:pPr>
          </w:p>
          <w:p w14:paraId="4ADDECBF" w14:textId="77777777" w:rsidR="005852D5" w:rsidRPr="00C43FB6" w:rsidRDefault="005852D5" w:rsidP="005852D5">
            <w:pPr>
              <w:spacing w:line="259" w:lineRule="auto"/>
              <w:ind w:left="-108" w:right="-108"/>
              <w:jc w:val="left"/>
              <w:cnfStyle w:val="000000100000" w:firstRow="0" w:lastRow="0" w:firstColumn="0" w:lastColumn="0" w:oddVBand="0" w:evenVBand="0" w:oddHBand="1" w:evenHBand="0" w:firstRowFirstColumn="0" w:firstRowLastColumn="0" w:lastRowFirstColumn="0" w:lastRowLastColumn="0"/>
              <w:rPr>
                <w:rFonts w:eastAsia="Arial Unicode MS" w:cs="Tahoma"/>
                <w:b/>
                <w:bCs/>
                <w:szCs w:val="16"/>
                <w:lang w:eastAsia="en-US"/>
              </w:rPr>
            </w:pPr>
          </w:p>
          <w:p w14:paraId="3ED02D6F" w14:textId="77777777" w:rsidR="005852D5" w:rsidRPr="00C43FB6" w:rsidRDefault="005852D5" w:rsidP="005852D5">
            <w:pPr>
              <w:spacing w:line="259" w:lineRule="auto"/>
              <w:ind w:left="-44"/>
              <w:jc w:val="left"/>
              <w:cnfStyle w:val="000000100000" w:firstRow="0" w:lastRow="0" w:firstColumn="0" w:lastColumn="0" w:oddVBand="0" w:evenVBand="0" w:oddHBand="1" w:evenHBand="0" w:firstRowFirstColumn="0" w:firstRowLastColumn="0" w:lastRowFirstColumn="0" w:lastRowLastColumn="0"/>
              <w:rPr>
                <w:rFonts w:eastAsia="Arial Unicode MS" w:cs="Tahoma"/>
                <w:szCs w:val="16"/>
                <w:lang w:eastAsia="en-US"/>
              </w:rPr>
            </w:pPr>
          </w:p>
        </w:tc>
        <w:tc>
          <w:tcPr>
            <w:tcW w:w="918" w:type="pct"/>
            <w:shd w:val="clear" w:color="auto" w:fill="F2F2F2" w:themeFill="background1" w:themeFillShade="F2"/>
          </w:tcPr>
          <w:p w14:paraId="031FA1C1" w14:textId="77777777" w:rsidR="00814633" w:rsidRPr="00814633" w:rsidRDefault="00814633" w:rsidP="00814633">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6"/>
                <w:szCs w:val="16"/>
              </w:rPr>
            </w:pPr>
            <w:r w:rsidRPr="00814633">
              <w:rPr>
                <w:rFonts w:ascii="Tahoma" w:hAnsi="Tahoma" w:cs="Tahoma"/>
                <w:color w:val="auto"/>
                <w:sz w:val="16"/>
                <w:szCs w:val="16"/>
              </w:rPr>
              <w:t xml:space="preserve">A pesar de los esfuerzos realizados para el abordaje de la población con enfoque de derechos humanos e inserción social la institución se ha enfrentado a diversas limitaciones que han impactado los resultados obtenidos, las cuales se detallan a continuación: </w:t>
            </w:r>
          </w:p>
          <w:p w14:paraId="6F8D2068" w14:textId="77777777" w:rsidR="00814633" w:rsidRPr="00814633" w:rsidRDefault="00814633" w:rsidP="00814633">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6"/>
                <w:szCs w:val="16"/>
              </w:rPr>
            </w:pPr>
            <w:r w:rsidRPr="00814633">
              <w:rPr>
                <w:rFonts w:ascii="Tahoma" w:hAnsi="Tahoma" w:cs="Tahoma"/>
                <w:color w:val="auto"/>
                <w:sz w:val="16"/>
                <w:szCs w:val="16"/>
              </w:rPr>
              <w:t xml:space="preserve">La Región Chorotega, Región Pacifico Central, Huetar Caribe y Huetar Norte presentan porcentajes de avance que sobrepasan la meta, lo cual beneficia los procesos de inserción social de las personas privadas de libertad de esos centros. </w:t>
            </w:r>
          </w:p>
          <w:p w14:paraId="142137F0" w14:textId="77777777" w:rsidR="00814633" w:rsidRPr="00814633" w:rsidRDefault="00814633" w:rsidP="00814633">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6"/>
                <w:szCs w:val="16"/>
              </w:rPr>
            </w:pPr>
            <w:r w:rsidRPr="00814633">
              <w:rPr>
                <w:rFonts w:ascii="Tahoma" w:hAnsi="Tahoma" w:cs="Tahoma"/>
                <w:color w:val="auto"/>
                <w:sz w:val="16"/>
                <w:szCs w:val="16"/>
              </w:rPr>
              <w:t xml:space="preserve">Las principales limitaciones institucionales se presentan en los ámbitos normativos, operativos y financieros, particularmente en la apertura de plazas ocupacionales con incentivo en servicios generales y proyectos industriales, así como en el desarrollo de actividades remuneradas con empresas privadas y autogestionarias. </w:t>
            </w:r>
          </w:p>
          <w:p w14:paraId="596BA9DC" w14:textId="77777777" w:rsidR="00814633" w:rsidRPr="00814633" w:rsidRDefault="00814633" w:rsidP="00814633">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6"/>
                <w:szCs w:val="16"/>
              </w:rPr>
            </w:pPr>
            <w:r w:rsidRPr="00814633">
              <w:rPr>
                <w:rFonts w:ascii="Tahoma" w:hAnsi="Tahoma" w:cs="Tahoma"/>
                <w:color w:val="auto"/>
                <w:sz w:val="16"/>
                <w:szCs w:val="16"/>
              </w:rPr>
              <w:t xml:space="preserve">Estas limitaciones obedecen, en gran medida, a la complejidad logística y operativa que, a nivel institucional, implica la implementación de este tipo de actividades con personas privadas de libertad, así como a la capacidad instalada y disponibilidad de recurso humano necesaria para ampliar y sostener la oferta de actividades ocupacionales remuneradas y autogestionarias dentro del Sistema Penitenciario Nacional. A lo anterior se suman factores administrativos y normativos que prolongan los tiempos para la formalización de convenios con empresas privadas, así como condiciones de seguridad penitenciaria y del contexto socioeconómico regional. Esta situación ha generado mayores desafíos en las regiones Central y Brunca, los cuales se han visto influenciados por las políticas penitenciarias vigentes, la limitada disponibilidad de recursos y la dinámica actual del empleo, lo que incide directamente en la ejecución de la meta. (Riesgo normativo, financiero y operativo) </w:t>
            </w:r>
          </w:p>
          <w:p w14:paraId="581E2AB7" w14:textId="5E4D1126" w:rsidR="005852D5" w:rsidRPr="00814633" w:rsidRDefault="00814633" w:rsidP="00814633">
            <w:pPr>
              <w:spacing w:beforeAutospacing="1"/>
              <w:cnfStyle w:val="000000100000" w:firstRow="0" w:lastRow="0" w:firstColumn="0" w:lastColumn="0" w:oddVBand="0" w:evenVBand="0" w:oddHBand="1" w:evenHBand="0" w:firstRowFirstColumn="0" w:firstRowLastColumn="0" w:lastRowFirstColumn="0" w:lastRowLastColumn="0"/>
              <w:rPr>
                <w:rFonts w:cs="Tahoma"/>
                <w:szCs w:val="16"/>
              </w:rPr>
            </w:pPr>
            <w:r w:rsidRPr="00814633">
              <w:rPr>
                <w:rFonts w:cs="Tahoma"/>
                <w:szCs w:val="16"/>
              </w:rPr>
              <w:t xml:space="preserve">La consecuencia del no alcance de la meta, limita las alternativas de formación de hábitos, de habilidades y del mejoramiento de la calidad de vida, en el proceso de incorporación al medio social de las personas privadas de libertad. </w:t>
            </w:r>
          </w:p>
        </w:tc>
        <w:tc>
          <w:tcPr>
            <w:tcW w:w="675" w:type="pct"/>
            <w:shd w:val="clear" w:color="auto" w:fill="F2F2F2" w:themeFill="background1" w:themeFillShade="F2"/>
          </w:tcPr>
          <w:p w14:paraId="7805B099" w14:textId="77777777" w:rsidR="009A31D9" w:rsidRDefault="009A31D9" w:rsidP="009A31D9">
            <w:pPr>
              <w:pStyle w:val="Default"/>
              <w:ind w:left="39"/>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6"/>
                <w:szCs w:val="16"/>
              </w:rPr>
            </w:pPr>
            <w:r w:rsidRPr="009A31D9">
              <w:rPr>
                <w:rFonts w:ascii="Tahoma" w:hAnsi="Tahoma" w:cs="Tahoma"/>
                <w:color w:val="auto"/>
                <w:sz w:val="16"/>
                <w:szCs w:val="16"/>
              </w:rPr>
              <w:t xml:space="preserve">El análisis del comportamiento del indicador ha permitido fortalecer el conocimiento sobre su dinámica territorial, evidenciando que las regiones que superan la meta tienden a ser recurrentemente las mismas, mientras que aquellas con rezagos mantienen dicha condición a lo largo del tiempo. </w:t>
            </w:r>
          </w:p>
          <w:p w14:paraId="02584130" w14:textId="77777777" w:rsidR="009A31D9" w:rsidRPr="009A31D9" w:rsidRDefault="009A31D9" w:rsidP="009A31D9">
            <w:pPr>
              <w:pStyle w:val="Default"/>
              <w:ind w:left="39"/>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6"/>
                <w:szCs w:val="16"/>
              </w:rPr>
            </w:pPr>
          </w:p>
          <w:p w14:paraId="55F4B787" w14:textId="769A739F" w:rsidR="005852D5" w:rsidRPr="009A31D9" w:rsidRDefault="009A31D9" w:rsidP="009A31D9">
            <w:pPr>
              <w:spacing w:line="254" w:lineRule="auto"/>
              <w:ind w:left="39" w:right="-26" w:hanging="28"/>
              <w:cnfStyle w:val="000000100000" w:firstRow="0" w:lastRow="0" w:firstColumn="0" w:lastColumn="0" w:oddVBand="0" w:evenVBand="0" w:oddHBand="1" w:evenHBand="0" w:firstRowFirstColumn="0" w:firstRowLastColumn="0" w:lastRowFirstColumn="0" w:lastRowLastColumn="0"/>
              <w:rPr>
                <w:rFonts w:cs="Tahoma"/>
                <w:szCs w:val="16"/>
              </w:rPr>
            </w:pPr>
            <w:r w:rsidRPr="009A31D9">
              <w:rPr>
                <w:rFonts w:cs="Tahoma"/>
                <w:szCs w:val="16"/>
              </w:rPr>
              <w:t xml:space="preserve">Esta situación ha facilitado la identificación de factores estructurales específicos por región, relacionados con el acceso al empleo, la dinámica de las empresas privadas para la generación de nuevos convenios y otras limitaciones propias del contexto local y penitenciario. En consecuencia, se evidencia la necesidad de diseñar e implementar iniciativas diferenciadas y focalizadas, orientadas a atender las particularidades de las regiones con rezago, con el fin de mejorar su desempeño. </w:t>
            </w:r>
          </w:p>
          <w:p w14:paraId="28319EDF" w14:textId="77777777" w:rsidR="005852D5" w:rsidRPr="00C43FB6" w:rsidRDefault="005852D5" w:rsidP="005852D5">
            <w:pPr>
              <w:spacing w:line="259" w:lineRule="auto"/>
              <w:ind w:right="-26"/>
              <w:cnfStyle w:val="000000100000" w:firstRow="0" w:lastRow="0" w:firstColumn="0" w:lastColumn="0" w:oddVBand="0" w:evenVBand="0" w:oddHBand="1" w:evenHBand="0" w:firstRowFirstColumn="0" w:firstRowLastColumn="0" w:lastRowFirstColumn="0" w:lastRowLastColumn="0"/>
              <w:rPr>
                <w:rFonts w:eastAsia="Arial Unicode MS" w:cs="Tahoma"/>
                <w:b/>
                <w:bCs/>
                <w:szCs w:val="16"/>
                <w:highlight w:val="yellow"/>
                <w:lang w:eastAsia="en-US"/>
              </w:rPr>
            </w:pPr>
          </w:p>
          <w:p w14:paraId="12A888E9" w14:textId="77777777" w:rsidR="005852D5" w:rsidRPr="00C43FB6" w:rsidRDefault="005852D5" w:rsidP="005852D5">
            <w:pPr>
              <w:spacing w:line="259" w:lineRule="auto"/>
              <w:ind w:right="-26"/>
              <w:cnfStyle w:val="000000100000" w:firstRow="0" w:lastRow="0" w:firstColumn="0" w:lastColumn="0" w:oddVBand="0" w:evenVBand="0" w:oddHBand="1" w:evenHBand="0" w:firstRowFirstColumn="0" w:firstRowLastColumn="0" w:lastRowFirstColumn="0" w:lastRowLastColumn="0"/>
              <w:rPr>
                <w:rFonts w:eastAsia="Arial Unicode MS" w:cs="Tahoma"/>
                <w:b/>
                <w:bCs/>
                <w:szCs w:val="16"/>
                <w:highlight w:val="yellow"/>
                <w:lang w:eastAsia="en-US"/>
              </w:rPr>
            </w:pPr>
          </w:p>
          <w:p w14:paraId="66991973" w14:textId="77777777" w:rsidR="005852D5" w:rsidRPr="00C43FB6" w:rsidRDefault="005852D5" w:rsidP="005852D5">
            <w:pPr>
              <w:spacing w:line="259" w:lineRule="auto"/>
              <w:ind w:right="-26"/>
              <w:cnfStyle w:val="000000100000" w:firstRow="0" w:lastRow="0" w:firstColumn="0" w:lastColumn="0" w:oddVBand="0" w:evenVBand="0" w:oddHBand="1" w:evenHBand="0" w:firstRowFirstColumn="0" w:firstRowLastColumn="0" w:lastRowFirstColumn="0" w:lastRowLastColumn="0"/>
              <w:rPr>
                <w:rFonts w:eastAsia="Arial Unicode MS" w:cs="Tahoma"/>
                <w:b/>
                <w:szCs w:val="16"/>
                <w:highlight w:val="yellow"/>
                <w:lang w:eastAsia="en-US"/>
              </w:rPr>
            </w:pPr>
          </w:p>
        </w:tc>
      </w:tr>
    </w:tbl>
    <w:p w14:paraId="36686685" w14:textId="435C6AA9" w:rsidR="006D3EDA" w:rsidRPr="00462C13" w:rsidRDefault="006D3EDA" w:rsidP="006D3EDA">
      <w:pPr>
        <w:spacing w:after="0" w:line="240" w:lineRule="auto"/>
        <w:ind w:left="426" w:hanging="360"/>
        <w:rPr>
          <w:rFonts w:cs="Tahoma"/>
          <w:szCs w:val="20"/>
        </w:rPr>
      </w:pPr>
      <w:r w:rsidRPr="00462C13">
        <w:rPr>
          <w:rFonts w:cs="Tahoma"/>
          <w:szCs w:val="20"/>
        </w:rPr>
        <w:t xml:space="preserve">Fuente: </w:t>
      </w:r>
      <w:r w:rsidRPr="00462C13">
        <w:rPr>
          <w:rFonts w:cs="Tahoma"/>
          <w:szCs w:val="16"/>
        </w:rPr>
        <w:t xml:space="preserve">Dirección General de Adaptación Social, </w:t>
      </w:r>
      <w:r w:rsidRPr="00462C13">
        <w:rPr>
          <w:rFonts w:eastAsia="Arial Narrow" w:cs="Tahoma"/>
        </w:rPr>
        <w:t>Ministerio de Justicia y Paz, 202</w:t>
      </w:r>
      <w:r w:rsidR="00AD7E31">
        <w:rPr>
          <w:rFonts w:eastAsia="Arial Narrow" w:cs="Tahoma"/>
        </w:rPr>
        <w:t>6</w:t>
      </w:r>
      <w:r>
        <w:rPr>
          <w:rFonts w:eastAsia="Arial Narrow" w:cs="Tahoma"/>
        </w:rPr>
        <w:t>.</w:t>
      </w:r>
    </w:p>
    <w:p w14:paraId="5E31D435" w14:textId="77777777" w:rsidR="006D3EDA" w:rsidRDefault="006D3EDA" w:rsidP="006D3EDA">
      <w:pPr>
        <w:rPr>
          <w:rFonts w:cs="Tahoma"/>
        </w:rPr>
      </w:pPr>
    </w:p>
    <w:p w14:paraId="38A6D191" w14:textId="77777777" w:rsidR="006D3EDA" w:rsidRDefault="006D3EDA" w:rsidP="006D3EDA">
      <w:pPr>
        <w:rPr>
          <w:rFonts w:cs="Tahoma"/>
        </w:rPr>
      </w:pPr>
    </w:p>
    <w:p w14:paraId="72C2791F" w14:textId="77777777" w:rsidR="006D3EDA" w:rsidRDefault="006D3EDA" w:rsidP="006D3EDA">
      <w:pPr>
        <w:rPr>
          <w:rFonts w:cs="Tahoma"/>
        </w:rPr>
      </w:pPr>
    </w:p>
    <w:p w14:paraId="29AD851C" w14:textId="77777777" w:rsidR="006D3EDA" w:rsidRDefault="006D3EDA" w:rsidP="006D3EDA">
      <w:pPr>
        <w:rPr>
          <w:rFonts w:cs="Tahoma"/>
        </w:rPr>
      </w:pPr>
    </w:p>
    <w:p w14:paraId="00D85DEA" w14:textId="77777777" w:rsidR="006D3EDA" w:rsidRDefault="006D3EDA" w:rsidP="006D3EDA">
      <w:pPr>
        <w:rPr>
          <w:rFonts w:cs="Tahoma"/>
        </w:rPr>
      </w:pPr>
    </w:p>
    <w:tbl>
      <w:tblPr>
        <w:tblStyle w:val="TablaMIDEPLAN11"/>
        <w:tblW w:w="4981" w:type="pct"/>
        <w:shd w:val="clear" w:color="auto" w:fill="C0C0C0"/>
        <w:tblLook w:val="04A0" w:firstRow="1" w:lastRow="0" w:firstColumn="1" w:lastColumn="0" w:noHBand="0" w:noVBand="1"/>
      </w:tblPr>
      <w:tblGrid>
        <w:gridCol w:w="2680"/>
        <w:gridCol w:w="1115"/>
        <w:gridCol w:w="1115"/>
        <w:gridCol w:w="1115"/>
        <w:gridCol w:w="1425"/>
        <w:gridCol w:w="14082"/>
      </w:tblGrid>
      <w:tr w:rsidR="006D3EDA" w:rsidRPr="00C43FB6" w14:paraId="581E3298" w14:textId="77777777" w:rsidTr="00193349">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2" w:type="pct"/>
            <w:shd w:val="clear" w:color="auto" w:fill="003A70"/>
          </w:tcPr>
          <w:p w14:paraId="07978C37" w14:textId="77777777" w:rsidR="006D3EDA" w:rsidRPr="00C43FB6" w:rsidRDefault="006D3EDA" w:rsidP="005B79CC">
            <w:pPr>
              <w:rPr>
                <w:rFonts w:eastAsia="Arial Unicode MS" w:cs="Tahoma"/>
                <w:szCs w:val="16"/>
              </w:rPr>
            </w:pPr>
            <w:r w:rsidRPr="00C43FB6">
              <w:rPr>
                <w:rFonts w:eastAsia="Arial Unicode MS" w:cs="Tahoma"/>
                <w:iCs/>
                <w:szCs w:val="16"/>
              </w:rPr>
              <w:lastRenderedPageBreak/>
              <w:t>Programación PNDIP 2023-2026</w:t>
            </w:r>
          </w:p>
        </w:tc>
        <w:tc>
          <w:tcPr>
            <w:tcW w:w="4378" w:type="pct"/>
            <w:gridSpan w:val="5"/>
            <w:shd w:val="clear" w:color="auto" w:fill="003A70"/>
          </w:tcPr>
          <w:p w14:paraId="5BEAC1EB" w14:textId="1D9BBE62" w:rsidR="006D3EDA" w:rsidRPr="00C43FB6"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rPr>
            </w:pPr>
            <w:r w:rsidRPr="00C43FB6">
              <w:rPr>
                <w:rFonts w:eastAsia="Arial Unicode MS" w:cs="Tahoma"/>
                <w:iCs/>
                <w:color w:val="auto"/>
                <w:szCs w:val="16"/>
                <w:lang w:eastAsia="en-US"/>
              </w:rPr>
              <w:t>Seguimiento Anual 202</w:t>
            </w:r>
            <w:r w:rsidR="004B4F07">
              <w:rPr>
                <w:rFonts w:eastAsia="Arial Unicode MS" w:cs="Tahoma"/>
                <w:iCs/>
                <w:color w:val="auto"/>
                <w:szCs w:val="16"/>
                <w:lang w:eastAsia="en-US"/>
              </w:rPr>
              <w:t>5</w:t>
            </w:r>
          </w:p>
        </w:tc>
      </w:tr>
      <w:tr w:rsidR="006D3EDA" w:rsidRPr="00C43FB6" w14:paraId="4F3745C2" w14:textId="77777777" w:rsidTr="00193349">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622" w:type="pct"/>
            <w:shd w:val="clear" w:color="auto" w:fill="003A70"/>
          </w:tcPr>
          <w:p w14:paraId="1987C7B0" w14:textId="77777777" w:rsidR="006D3EDA" w:rsidRPr="00C43FB6" w:rsidRDefault="006D3EDA" w:rsidP="005B79CC">
            <w:pPr>
              <w:rPr>
                <w:rFonts w:eastAsia="Arial Unicode MS" w:cs="Tahoma"/>
                <w:szCs w:val="16"/>
              </w:rPr>
            </w:pPr>
            <w:r w:rsidRPr="00C43FB6">
              <w:rPr>
                <w:rFonts w:eastAsia="Arial Unicode MS" w:cs="Tahoma"/>
                <w:iCs/>
                <w:szCs w:val="16"/>
              </w:rPr>
              <w:t>Indicadores</w:t>
            </w:r>
          </w:p>
        </w:tc>
        <w:tc>
          <w:tcPr>
            <w:tcW w:w="259" w:type="pct"/>
            <w:shd w:val="clear" w:color="auto" w:fill="003A70"/>
          </w:tcPr>
          <w:p w14:paraId="090475F2" w14:textId="77777777" w:rsidR="006D3EDA" w:rsidRPr="00C43FB6" w:rsidRDefault="006D3EDA" w:rsidP="005B79CC">
            <w:pPr>
              <w:spacing w:line="259" w:lineRule="auto"/>
              <w:cnfStyle w:val="100000000000" w:firstRow="1" w:lastRow="0" w:firstColumn="0" w:lastColumn="0" w:oddVBand="0" w:evenVBand="0" w:oddHBand="0" w:evenHBand="0" w:firstRowFirstColumn="0" w:firstRowLastColumn="0" w:lastRowFirstColumn="0" w:lastRowLastColumn="0"/>
              <w:rPr>
                <w:rFonts w:eastAsia="Arial Unicode MS" w:cs="Tahoma"/>
                <w:color w:val="auto"/>
                <w:szCs w:val="16"/>
                <w:lang w:eastAsia="en-US"/>
              </w:rPr>
            </w:pPr>
            <w:r w:rsidRPr="00C43FB6">
              <w:rPr>
                <w:rFonts w:eastAsia="Arial Unicode MS" w:cs="Tahoma"/>
                <w:iCs/>
                <w:color w:val="auto"/>
                <w:szCs w:val="16"/>
                <w:lang w:eastAsia="en-US"/>
              </w:rPr>
              <w:t>Meta Anual</w:t>
            </w:r>
          </w:p>
        </w:tc>
        <w:tc>
          <w:tcPr>
            <w:tcW w:w="259" w:type="pct"/>
            <w:shd w:val="clear" w:color="auto" w:fill="003A70"/>
          </w:tcPr>
          <w:p w14:paraId="0B2D7193" w14:textId="77777777" w:rsidR="006D3EDA" w:rsidRPr="00C43FB6" w:rsidRDefault="006D3EDA" w:rsidP="005B79CC">
            <w:pPr>
              <w:spacing w:line="259" w:lineRule="auto"/>
              <w:cnfStyle w:val="100000000000" w:firstRow="1" w:lastRow="0" w:firstColumn="0" w:lastColumn="0" w:oddVBand="0" w:evenVBand="0" w:oddHBand="0" w:evenHBand="0" w:firstRowFirstColumn="0" w:firstRowLastColumn="0" w:lastRowFirstColumn="0" w:lastRowLastColumn="0"/>
              <w:rPr>
                <w:rFonts w:eastAsia="Arial Unicode MS" w:cs="Tahoma"/>
                <w:color w:val="auto"/>
                <w:szCs w:val="16"/>
                <w:vertAlign w:val="superscript"/>
                <w:lang w:eastAsia="en-US"/>
              </w:rPr>
            </w:pPr>
            <w:r w:rsidRPr="00C43FB6">
              <w:rPr>
                <w:rFonts w:eastAsia="Arial Unicode MS" w:cs="Tahoma"/>
                <w:iCs/>
                <w:color w:val="auto"/>
                <w:szCs w:val="16"/>
                <w:lang w:eastAsia="en-US"/>
              </w:rPr>
              <w:t>Absoluto</w:t>
            </w:r>
          </w:p>
        </w:tc>
        <w:tc>
          <w:tcPr>
            <w:tcW w:w="259" w:type="pct"/>
            <w:shd w:val="clear" w:color="auto" w:fill="003A70"/>
          </w:tcPr>
          <w:p w14:paraId="696AD1C4" w14:textId="77777777" w:rsidR="006D3EDA" w:rsidRPr="00C43FB6" w:rsidRDefault="006D3EDA" w:rsidP="005B79CC">
            <w:pPr>
              <w:spacing w:line="259" w:lineRule="auto"/>
              <w:cnfStyle w:val="100000000000" w:firstRow="1" w:lastRow="0" w:firstColumn="0" w:lastColumn="0" w:oddVBand="0" w:evenVBand="0" w:oddHBand="0" w:evenHBand="0" w:firstRowFirstColumn="0" w:firstRowLastColumn="0" w:lastRowFirstColumn="0" w:lastRowLastColumn="0"/>
              <w:rPr>
                <w:rFonts w:eastAsia="Arial Unicode MS" w:cs="Tahoma"/>
                <w:color w:val="auto"/>
                <w:szCs w:val="16"/>
                <w:vertAlign w:val="superscript"/>
                <w:lang w:eastAsia="en-US"/>
              </w:rPr>
            </w:pPr>
            <w:r w:rsidRPr="00C43FB6">
              <w:rPr>
                <w:rFonts w:eastAsia="Arial Unicode MS" w:cs="Tahoma"/>
                <w:iCs/>
                <w:color w:val="auto"/>
                <w:szCs w:val="16"/>
                <w:lang w:eastAsia="en-US"/>
              </w:rPr>
              <w:t>% de avance</w:t>
            </w:r>
          </w:p>
        </w:tc>
        <w:tc>
          <w:tcPr>
            <w:tcW w:w="331" w:type="pct"/>
            <w:shd w:val="clear" w:color="auto" w:fill="003A70"/>
          </w:tcPr>
          <w:p w14:paraId="41FE4357" w14:textId="77777777" w:rsidR="006D3EDA" w:rsidRPr="00C43FB6"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rPr>
            </w:pPr>
            <w:r w:rsidRPr="00C43FB6">
              <w:rPr>
                <w:rFonts w:eastAsia="Arial Unicode MS" w:cs="Tahoma"/>
                <w:iCs/>
                <w:color w:val="auto"/>
                <w:szCs w:val="16"/>
                <w:lang w:eastAsia="en-US"/>
              </w:rPr>
              <w:t>Clasificación de cumplimiento</w:t>
            </w:r>
          </w:p>
        </w:tc>
        <w:tc>
          <w:tcPr>
            <w:tcW w:w="3270" w:type="pct"/>
            <w:shd w:val="clear" w:color="auto" w:fill="003A70"/>
          </w:tcPr>
          <w:p w14:paraId="526A331A" w14:textId="77777777" w:rsidR="006D3EDA" w:rsidRPr="00C43FB6" w:rsidRDefault="006D3EDA" w:rsidP="005B79CC">
            <w:pPr>
              <w:spacing w:line="259" w:lineRule="auto"/>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color w:val="auto"/>
                <w:szCs w:val="16"/>
                <w:vertAlign w:val="superscript"/>
                <w:lang w:eastAsia="en-US"/>
              </w:rPr>
            </w:pPr>
            <w:r w:rsidRPr="00C43FB6">
              <w:rPr>
                <w:rFonts w:eastAsia="Arial Unicode MS" w:cs="Tahoma"/>
                <w:iCs/>
                <w:color w:val="auto"/>
                <w:szCs w:val="16"/>
                <w:lang w:eastAsia="en-US"/>
              </w:rPr>
              <w:t xml:space="preserve">Logros u obstáculos </w:t>
            </w:r>
          </w:p>
        </w:tc>
      </w:tr>
      <w:tr w:rsidR="00BE157C" w:rsidRPr="00C43FB6" w14:paraId="5F5C390D" w14:textId="77777777" w:rsidTr="00193349">
        <w:trPr>
          <w:cnfStyle w:val="000000100000" w:firstRow="0" w:lastRow="0" w:firstColumn="0" w:lastColumn="0" w:oddVBand="0" w:evenVBand="0" w:oddHBand="1" w:evenHBand="0" w:firstRowFirstColumn="0" w:firstRowLastColumn="0" w:lastRowFirstColumn="0" w:lastRowLastColumn="0"/>
          <w:trHeight w:val="1236"/>
        </w:trPr>
        <w:tc>
          <w:tcPr>
            <w:cnfStyle w:val="001000000000" w:firstRow="0" w:lastRow="0" w:firstColumn="1" w:lastColumn="0" w:oddVBand="0" w:evenVBand="0" w:oddHBand="0" w:evenHBand="0" w:firstRowFirstColumn="0" w:firstRowLastColumn="0" w:lastRowFirstColumn="0" w:lastRowLastColumn="0"/>
            <w:tcW w:w="622" w:type="pct"/>
            <w:shd w:val="clear" w:color="auto" w:fill="F2F2F2" w:themeFill="background1" w:themeFillShade="F2"/>
          </w:tcPr>
          <w:p w14:paraId="167C1119" w14:textId="2C73E06C" w:rsidR="00BE157C" w:rsidRPr="00C43FB6" w:rsidRDefault="00BE157C" w:rsidP="00BE157C">
            <w:pPr>
              <w:spacing w:line="259" w:lineRule="auto"/>
              <w:rPr>
                <w:rFonts w:eastAsia="Times New Roman" w:cs="Tahoma"/>
                <w:color w:val="auto"/>
                <w:szCs w:val="16"/>
              </w:rPr>
            </w:pPr>
            <w:r w:rsidRPr="00C43FB6">
              <w:rPr>
                <w:rFonts w:eastAsia="Times New Roman" w:cs="Tahoma"/>
                <w:b/>
                <w:color w:val="auto"/>
                <w:szCs w:val="16"/>
              </w:rPr>
              <w:t>A.1.2.1</w:t>
            </w:r>
            <w:r w:rsidRPr="00C43FB6">
              <w:rPr>
                <w:rFonts w:eastAsia="Times New Roman" w:cs="Tahoma"/>
                <w:color w:val="auto"/>
                <w:szCs w:val="16"/>
              </w:rPr>
              <w:t xml:space="preserve"> </w:t>
            </w:r>
            <w:r w:rsidRPr="00434ABC">
              <w:rPr>
                <w:rFonts w:eastAsia="Times New Roman" w:cs="Tahoma"/>
                <w:color w:val="auto"/>
                <w:szCs w:val="16"/>
              </w:rPr>
              <w:t>Promedio mensual de personas privadas de libertad que participan en actividades ocupacionales remuneradas y autogestionarias dentro del Sistema Penitenciario Nacional.</w:t>
            </w:r>
            <w:r w:rsidRPr="00C43FB6">
              <w:rPr>
                <w:rFonts w:eastAsia="Times New Roman" w:cs="Tahoma"/>
                <w:color w:val="auto"/>
                <w:szCs w:val="16"/>
              </w:rPr>
              <w:t xml:space="preserve"> </w:t>
            </w:r>
            <w:r w:rsidRPr="00C43FB6">
              <w:rPr>
                <w:rFonts w:eastAsia="Times New Roman" w:cs="Tahoma"/>
                <w:b/>
                <w:color w:val="auto"/>
                <w:szCs w:val="16"/>
              </w:rPr>
              <w:t>Región Central</w:t>
            </w:r>
          </w:p>
        </w:tc>
        <w:tc>
          <w:tcPr>
            <w:tcW w:w="259" w:type="pct"/>
            <w:shd w:val="clear" w:color="auto" w:fill="F2F2F2" w:themeFill="background1" w:themeFillShade="F2"/>
          </w:tcPr>
          <w:p w14:paraId="0DF74D76" w14:textId="77777777" w:rsidR="00BE157C" w:rsidRPr="004C1243"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b/>
                <w:szCs w:val="16"/>
                <w:lang w:eastAsia="en-US"/>
              </w:rPr>
            </w:pPr>
            <w:r w:rsidRPr="004C1243">
              <w:rPr>
                <w:rFonts w:eastAsia="Times New Roman"/>
                <w:b/>
                <w:szCs w:val="16"/>
                <w:lang w:eastAsia="en-US"/>
              </w:rPr>
              <w:t>Región Central:</w:t>
            </w:r>
          </w:p>
          <w:p w14:paraId="543F719B" w14:textId="636361B6" w:rsidR="00BE157C" w:rsidRPr="00C43FB6" w:rsidRDefault="00BE157C" w:rsidP="00BE157C">
            <w:pPr>
              <w:jc w:val="left"/>
              <w:cnfStyle w:val="000000100000" w:firstRow="0" w:lastRow="0" w:firstColumn="0" w:lastColumn="0" w:oddVBand="0" w:evenVBand="0" w:oddHBand="1" w:evenHBand="0" w:firstRowFirstColumn="0" w:firstRowLastColumn="0" w:lastRowFirstColumn="0" w:lastRowLastColumn="0"/>
              <w:rPr>
                <w:rFonts w:eastAsia="Times New Roman" w:cs="Tahoma"/>
                <w:szCs w:val="16"/>
              </w:rPr>
            </w:pPr>
            <w:r w:rsidRPr="004C1243">
              <w:rPr>
                <w:rFonts w:eastAsia="Times New Roman"/>
                <w:szCs w:val="16"/>
                <w:lang w:eastAsia="en-US"/>
              </w:rPr>
              <w:t>3260</w:t>
            </w:r>
          </w:p>
        </w:tc>
        <w:tc>
          <w:tcPr>
            <w:tcW w:w="259" w:type="pct"/>
            <w:shd w:val="clear" w:color="auto" w:fill="F2F2F2" w:themeFill="background1" w:themeFillShade="F2"/>
          </w:tcPr>
          <w:p w14:paraId="355065AD" w14:textId="77777777" w:rsidR="00BE157C" w:rsidRPr="004C1243" w:rsidRDefault="00BE157C" w:rsidP="00BE157C">
            <w:pPr>
              <w:jc w:val="left"/>
              <w:cnfStyle w:val="000000100000" w:firstRow="0" w:lastRow="0" w:firstColumn="0" w:lastColumn="0" w:oddVBand="0" w:evenVBand="0" w:oddHBand="1" w:evenHBand="0" w:firstRowFirstColumn="0" w:firstRowLastColumn="0" w:lastRowFirstColumn="0" w:lastRowLastColumn="0"/>
              <w:rPr>
                <w:rFonts w:eastAsia="Times New Roman"/>
                <w:b/>
                <w:szCs w:val="16"/>
              </w:rPr>
            </w:pPr>
            <w:r w:rsidRPr="004C1243">
              <w:rPr>
                <w:rFonts w:eastAsia="Times New Roman"/>
                <w:b/>
                <w:szCs w:val="16"/>
              </w:rPr>
              <w:t>Región Central:</w:t>
            </w:r>
          </w:p>
          <w:p w14:paraId="685965B4" w14:textId="77777777" w:rsidR="00BE157C" w:rsidRDefault="00BE157C" w:rsidP="00BE157C">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C2661A">
              <w:rPr>
                <w:szCs w:val="16"/>
                <w:lang w:eastAsia="en-US"/>
              </w:rPr>
              <w:t>2180,42</w:t>
            </w:r>
          </w:p>
          <w:p w14:paraId="1EF7CE3E" w14:textId="76A865A5" w:rsidR="00BE157C" w:rsidRPr="00C43FB6" w:rsidRDefault="00BE157C" w:rsidP="00BE157C">
            <w:pPr>
              <w:jc w:val="left"/>
              <w:cnfStyle w:val="000000100000" w:firstRow="0" w:lastRow="0" w:firstColumn="0" w:lastColumn="0" w:oddVBand="0" w:evenVBand="0" w:oddHBand="1" w:evenHBand="0" w:firstRowFirstColumn="0" w:firstRowLastColumn="0" w:lastRowFirstColumn="0" w:lastRowLastColumn="0"/>
              <w:rPr>
                <w:rFonts w:eastAsia="Times New Roman" w:cs="Tahoma"/>
                <w:szCs w:val="16"/>
              </w:rPr>
            </w:pPr>
          </w:p>
        </w:tc>
        <w:tc>
          <w:tcPr>
            <w:tcW w:w="259" w:type="pct"/>
            <w:shd w:val="clear" w:color="auto" w:fill="F2F2F2" w:themeFill="background1" w:themeFillShade="F2"/>
          </w:tcPr>
          <w:p w14:paraId="2BBD304E" w14:textId="77777777" w:rsidR="00BE157C" w:rsidRPr="004C1243" w:rsidRDefault="00BE157C" w:rsidP="00BE157C">
            <w:pPr>
              <w:jc w:val="left"/>
              <w:cnfStyle w:val="000000100000" w:firstRow="0" w:lastRow="0" w:firstColumn="0" w:lastColumn="0" w:oddVBand="0" w:evenVBand="0" w:oddHBand="1" w:evenHBand="0" w:firstRowFirstColumn="0" w:firstRowLastColumn="0" w:lastRowFirstColumn="0" w:lastRowLastColumn="0"/>
              <w:rPr>
                <w:rFonts w:eastAsia="Times New Roman"/>
                <w:b/>
                <w:szCs w:val="16"/>
              </w:rPr>
            </w:pPr>
            <w:r w:rsidRPr="004C1243">
              <w:rPr>
                <w:rFonts w:eastAsia="Times New Roman"/>
                <w:b/>
                <w:szCs w:val="16"/>
              </w:rPr>
              <w:t>Región Central:</w:t>
            </w:r>
          </w:p>
          <w:p w14:paraId="13F2E160" w14:textId="77777777" w:rsidR="00BE157C" w:rsidRPr="00A5390A"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C2661A">
              <w:rPr>
                <w:szCs w:val="16"/>
                <w:lang w:eastAsia="en-US"/>
              </w:rPr>
              <w:t>66,88%</w:t>
            </w:r>
          </w:p>
          <w:p w14:paraId="303BBDEF" w14:textId="489F8BA6" w:rsidR="00BE157C" w:rsidRPr="00C43FB6" w:rsidRDefault="00BE157C" w:rsidP="00BE157C">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ahoma"/>
                <w:szCs w:val="16"/>
              </w:rPr>
            </w:pPr>
          </w:p>
        </w:tc>
        <w:tc>
          <w:tcPr>
            <w:tcW w:w="331" w:type="pct"/>
            <w:shd w:val="clear" w:color="auto" w:fill="FFFF00"/>
            <w:vAlign w:val="center"/>
          </w:tcPr>
          <w:p w14:paraId="7EF247BF" w14:textId="55D64965" w:rsidR="00BE157C" w:rsidRPr="00C43FB6" w:rsidRDefault="00BE157C" w:rsidP="00BE157C">
            <w:pPr>
              <w:ind w:left="-44"/>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6"/>
              </w:rPr>
            </w:pPr>
            <w:r w:rsidRPr="004C1243">
              <w:rPr>
                <w:rFonts w:eastAsia="Arial Unicode MS"/>
                <w:b/>
                <w:szCs w:val="16"/>
                <w:lang w:eastAsia="en-US"/>
              </w:rPr>
              <w:t>Cumplimiento medio</w:t>
            </w:r>
          </w:p>
        </w:tc>
        <w:tc>
          <w:tcPr>
            <w:tcW w:w="3270" w:type="pct"/>
            <w:shd w:val="clear" w:color="auto" w:fill="F2F2F2" w:themeFill="background1" w:themeFillShade="F2"/>
          </w:tcPr>
          <w:p w14:paraId="26BD58F4" w14:textId="77777777" w:rsidR="002370A8" w:rsidRPr="0032678E" w:rsidRDefault="002370A8"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Obstáculos </w:t>
            </w:r>
          </w:p>
          <w:p w14:paraId="490A45EF" w14:textId="77777777" w:rsidR="002370A8" w:rsidRPr="0032678E" w:rsidRDefault="002370A8"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32678E">
              <w:rPr>
                <w:rFonts w:ascii="Tahoma" w:hAnsi="Tahoma" w:cs="Tahoma"/>
                <w:sz w:val="16"/>
                <w:szCs w:val="16"/>
              </w:rPr>
              <w:t xml:space="preserve">La Región Central ha presentado el mismo rezago en el cumplimiento del indicador durante varios informes consecutivos. Las principales limitaciones institucionales se concentran en los ámbitos operativo y financiero, particularmente en la apertura de plazas ocupacionales con incentivo en servicios generales y proyectos agroindustriales, debido a que el presupuesto asignado no ha registrado incrementos en el período analizado, lo que configura un riesgo financiero y operativo. </w:t>
            </w:r>
          </w:p>
          <w:p w14:paraId="2A29ABA1" w14:textId="77777777" w:rsidR="002370A8" w:rsidRPr="0032678E" w:rsidRDefault="002370A8"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32678E">
              <w:rPr>
                <w:rFonts w:ascii="Tahoma" w:hAnsi="Tahoma" w:cs="Tahoma"/>
                <w:sz w:val="16"/>
                <w:szCs w:val="16"/>
              </w:rPr>
              <w:t xml:space="preserve">Adicionalmente, se ha evidenciado una disminución en la participación de personas privadas de libertad en actividades remuneradas con empresas privadas y en actividades artesanales remuneradas. Esta situación obedece a los cambios normativos implementados en el Sistema Penitenciario Nacional y a la complejidad operativa que implica el desarrollo de este tipo de actividades dentro del sistema, lo cual ha afectado principalmente a esta región, al concentrar la mayor cantidad de centros penitenciarios del país, configurándose así un riesgo normativo y operativo. </w:t>
            </w:r>
          </w:p>
          <w:p w14:paraId="13FAC420" w14:textId="77777777" w:rsidR="0032678E" w:rsidRPr="0032678E" w:rsidRDefault="0032678E"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p w14:paraId="1BAA161C" w14:textId="77777777" w:rsidR="002370A8" w:rsidRPr="0032678E" w:rsidRDefault="002370A8"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Resultados de las medidas de mejora establecidas en los informes anteriores. </w:t>
            </w:r>
          </w:p>
          <w:p w14:paraId="671EE2BF" w14:textId="77777777" w:rsidR="002370A8" w:rsidRPr="0032678E" w:rsidRDefault="002370A8"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32678E">
              <w:rPr>
                <w:rFonts w:ascii="Tahoma" w:hAnsi="Tahoma" w:cs="Tahoma"/>
                <w:sz w:val="16"/>
                <w:szCs w:val="16"/>
              </w:rPr>
              <w:t xml:space="preserve">Las medidas de mejora establecidas en informes anteriores no han generado cambios significativos que permitan un incremento sustantivo en el cumplimiento de la meta en esta zona geográfica, evidenciando la necesidad de replantear las estrategias aplicadas. </w:t>
            </w:r>
          </w:p>
          <w:p w14:paraId="1765038D" w14:textId="77777777" w:rsidR="0032678E" w:rsidRPr="0032678E" w:rsidRDefault="0032678E"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p w14:paraId="26EDAA88" w14:textId="77777777" w:rsidR="002370A8" w:rsidRPr="0032678E" w:rsidRDefault="002370A8"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Lecciones aprendidas: </w:t>
            </w:r>
          </w:p>
          <w:p w14:paraId="06B3E187" w14:textId="77777777" w:rsidR="002370A8" w:rsidRPr="0032678E" w:rsidRDefault="002370A8"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32678E">
              <w:rPr>
                <w:rFonts w:ascii="Tahoma" w:hAnsi="Tahoma" w:cs="Tahoma"/>
                <w:sz w:val="16"/>
                <w:szCs w:val="16"/>
              </w:rPr>
              <w:t xml:space="preserve">El análisis del comportamiento del indicador en la Región Central ha permitido identificar que el rezago en el cumplimiento de la meta responde a factores estructurales y operativos persistentes, los cuales no se corrigen mediante medidas generales aplicadas a nivel nacional. La concentración de la mayor cantidad de centros penitenciarios del país, aunada a restricciones presupuestarias, limitaciones operativas y cambios normativos, incide de manera directa en la capacidad para ampliar y diversificar la oferta de actividades ocupacionales remuneradas y autogestionarias. </w:t>
            </w:r>
          </w:p>
          <w:p w14:paraId="7D0512FC" w14:textId="77777777" w:rsidR="00BE157C" w:rsidRDefault="002370A8" w:rsidP="0032678E">
            <w:pPr>
              <w:widowControl w:val="0"/>
              <w:ind w:right="111"/>
              <w:cnfStyle w:val="000000100000" w:firstRow="0" w:lastRow="0" w:firstColumn="0" w:lastColumn="0" w:oddVBand="0" w:evenVBand="0" w:oddHBand="1" w:evenHBand="0" w:firstRowFirstColumn="0" w:firstRowLastColumn="0" w:lastRowFirstColumn="0" w:lastRowLastColumn="0"/>
              <w:rPr>
                <w:rFonts w:cs="Tahoma"/>
                <w:szCs w:val="16"/>
              </w:rPr>
            </w:pPr>
            <w:r w:rsidRPr="0032678E">
              <w:rPr>
                <w:rFonts w:cs="Tahoma"/>
                <w:szCs w:val="16"/>
              </w:rPr>
              <w:t xml:space="preserve">Asimismo, se evidencia que la disminución en la participación en actividades remuneradas con empresas privadas y las actividades artesanales requiere estrategias diferenciadas y focalizadas, adaptadas a la complejidad operativa y a las condiciones propias de la región. En este sentido, se identifica la necesidad de replantear los enfoques de intervención, priorizando acciones específicas para la Región Central que permitan mejorar el desempeño del indicador y reducir el rezago sostenido en el tiempo. </w:t>
            </w:r>
          </w:p>
          <w:p w14:paraId="1DBFBA56" w14:textId="1F13219B" w:rsidR="0032678E" w:rsidRPr="0032678E" w:rsidRDefault="0032678E" w:rsidP="0032678E">
            <w:pPr>
              <w:widowControl w:val="0"/>
              <w:ind w:right="111"/>
              <w:cnfStyle w:val="000000100000" w:firstRow="0" w:lastRow="0" w:firstColumn="0" w:lastColumn="0" w:oddVBand="0" w:evenVBand="0" w:oddHBand="1" w:evenHBand="0" w:firstRowFirstColumn="0" w:firstRowLastColumn="0" w:lastRowFirstColumn="0" w:lastRowLastColumn="0"/>
              <w:rPr>
                <w:rFonts w:cs="Tahoma"/>
                <w:szCs w:val="16"/>
              </w:rPr>
            </w:pPr>
          </w:p>
        </w:tc>
      </w:tr>
      <w:tr w:rsidR="00BE157C" w:rsidRPr="00C43FB6" w14:paraId="0EBAD545" w14:textId="77777777" w:rsidTr="00BE157C">
        <w:trPr>
          <w:cnfStyle w:val="000000010000" w:firstRow="0" w:lastRow="0" w:firstColumn="0" w:lastColumn="0" w:oddVBand="0" w:evenVBand="0" w:oddHBand="0" w:evenHBand="1"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622" w:type="pct"/>
            <w:shd w:val="clear" w:color="auto" w:fill="F2F2F2" w:themeFill="background1" w:themeFillShade="F2"/>
          </w:tcPr>
          <w:p w14:paraId="70059052" w14:textId="009CB254" w:rsidR="00BE157C" w:rsidRPr="00C43FB6" w:rsidRDefault="00BE157C" w:rsidP="00BE157C">
            <w:pPr>
              <w:rPr>
                <w:rFonts w:eastAsia="Times New Roman" w:cs="Tahoma"/>
                <w:b/>
                <w:szCs w:val="16"/>
              </w:rPr>
            </w:pPr>
            <w:r w:rsidRPr="00C43FB6">
              <w:rPr>
                <w:rFonts w:eastAsia="Times New Roman" w:cs="Tahoma"/>
                <w:b/>
                <w:color w:val="auto"/>
                <w:szCs w:val="16"/>
              </w:rPr>
              <w:t>A.1.2.1</w:t>
            </w:r>
            <w:r w:rsidRPr="00C43FB6">
              <w:rPr>
                <w:rFonts w:eastAsia="Times New Roman" w:cs="Tahoma"/>
                <w:color w:val="auto"/>
                <w:szCs w:val="16"/>
              </w:rPr>
              <w:t xml:space="preserve"> </w:t>
            </w:r>
            <w:r w:rsidRPr="00434ABC">
              <w:rPr>
                <w:rFonts w:eastAsia="Times New Roman" w:cs="Tahoma"/>
                <w:color w:val="auto"/>
                <w:szCs w:val="16"/>
              </w:rPr>
              <w:t>Promedio mensual de personas privadas de libertad que participan en actividades ocupacionales remuneradas y autogestionarias dentro del Sistema Penitenciario Nacional.</w:t>
            </w:r>
            <w:r>
              <w:rPr>
                <w:rFonts w:eastAsia="Times New Roman" w:cs="Tahoma"/>
                <w:color w:val="auto"/>
                <w:szCs w:val="16"/>
              </w:rPr>
              <w:t xml:space="preserve"> </w:t>
            </w:r>
            <w:r w:rsidRPr="00C43FB6">
              <w:rPr>
                <w:rFonts w:eastAsia="Times New Roman" w:cs="Tahoma"/>
                <w:b/>
                <w:color w:val="auto"/>
                <w:szCs w:val="16"/>
              </w:rPr>
              <w:t>Región Pacífico Central</w:t>
            </w:r>
          </w:p>
        </w:tc>
        <w:tc>
          <w:tcPr>
            <w:tcW w:w="259" w:type="pct"/>
            <w:shd w:val="clear" w:color="auto" w:fill="F2F2F2" w:themeFill="background1" w:themeFillShade="F2"/>
          </w:tcPr>
          <w:p w14:paraId="2E84314D" w14:textId="77777777" w:rsidR="00BE157C" w:rsidRPr="004C1243" w:rsidRDefault="00BE157C" w:rsidP="00BE157C">
            <w:pPr>
              <w:spacing w:line="259" w:lineRule="auto"/>
              <w:jc w:val="left"/>
              <w:cnfStyle w:val="000000010000" w:firstRow="0" w:lastRow="0" w:firstColumn="0" w:lastColumn="0" w:oddVBand="0" w:evenVBand="0" w:oddHBand="0" w:evenHBand="1" w:firstRowFirstColumn="0" w:firstRowLastColumn="0" w:lastRowFirstColumn="0" w:lastRowLastColumn="0"/>
              <w:rPr>
                <w:rFonts w:eastAsia="Times New Roman"/>
                <w:b/>
                <w:szCs w:val="16"/>
                <w:lang w:eastAsia="en-US"/>
              </w:rPr>
            </w:pPr>
            <w:r w:rsidRPr="004C1243">
              <w:rPr>
                <w:rFonts w:eastAsia="Times New Roman"/>
                <w:b/>
                <w:szCs w:val="16"/>
                <w:lang w:eastAsia="en-US"/>
              </w:rPr>
              <w:t>Región</w:t>
            </w:r>
          </w:p>
          <w:p w14:paraId="20641AA3" w14:textId="77777777" w:rsidR="00BE157C" w:rsidRPr="004C1243" w:rsidRDefault="00BE157C" w:rsidP="00BE157C">
            <w:pPr>
              <w:spacing w:line="259" w:lineRule="auto"/>
              <w:jc w:val="left"/>
              <w:cnfStyle w:val="000000010000" w:firstRow="0" w:lastRow="0" w:firstColumn="0" w:lastColumn="0" w:oddVBand="0" w:evenVBand="0" w:oddHBand="0" w:evenHBand="1" w:firstRowFirstColumn="0" w:firstRowLastColumn="0" w:lastRowFirstColumn="0" w:lastRowLastColumn="0"/>
              <w:rPr>
                <w:rFonts w:eastAsia="Times New Roman"/>
                <w:b/>
                <w:szCs w:val="16"/>
                <w:lang w:eastAsia="en-US"/>
              </w:rPr>
            </w:pPr>
            <w:r w:rsidRPr="004C1243">
              <w:rPr>
                <w:rFonts w:eastAsia="Times New Roman"/>
                <w:b/>
                <w:szCs w:val="16"/>
                <w:lang w:eastAsia="en-US"/>
              </w:rPr>
              <w:t>Chorotega:</w:t>
            </w:r>
          </w:p>
          <w:p w14:paraId="66EDDB3A" w14:textId="3B5E9384" w:rsidR="00BE157C" w:rsidRPr="00C43FB6" w:rsidRDefault="00BE157C" w:rsidP="00BE157C">
            <w:pPr>
              <w:cnfStyle w:val="000000010000" w:firstRow="0" w:lastRow="0" w:firstColumn="0" w:lastColumn="0" w:oddVBand="0" w:evenVBand="0" w:oddHBand="0" w:evenHBand="1" w:firstRowFirstColumn="0" w:firstRowLastColumn="0" w:lastRowFirstColumn="0" w:lastRowLastColumn="0"/>
              <w:rPr>
                <w:rFonts w:eastAsia="Times New Roman" w:cs="Tahoma"/>
                <w:szCs w:val="16"/>
              </w:rPr>
            </w:pPr>
            <w:r w:rsidRPr="004C1243">
              <w:rPr>
                <w:rFonts w:eastAsia="Times New Roman"/>
                <w:szCs w:val="16"/>
                <w:lang w:eastAsia="en-US"/>
              </w:rPr>
              <w:t>280</w:t>
            </w:r>
          </w:p>
        </w:tc>
        <w:tc>
          <w:tcPr>
            <w:tcW w:w="259" w:type="pct"/>
            <w:shd w:val="clear" w:color="auto" w:fill="F2F2F2" w:themeFill="background1" w:themeFillShade="F2"/>
          </w:tcPr>
          <w:p w14:paraId="6977F3A4" w14:textId="77777777" w:rsidR="00BE157C" w:rsidRPr="004C1243" w:rsidRDefault="00BE157C" w:rsidP="00BE157C">
            <w:pPr>
              <w:spacing w:line="259" w:lineRule="auto"/>
              <w:jc w:val="left"/>
              <w:cnfStyle w:val="000000010000" w:firstRow="0" w:lastRow="0" w:firstColumn="0" w:lastColumn="0" w:oddVBand="0" w:evenVBand="0" w:oddHBand="0" w:evenHBand="1" w:firstRowFirstColumn="0" w:firstRowLastColumn="0" w:lastRowFirstColumn="0" w:lastRowLastColumn="0"/>
              <w:rPr>
                <w:rFonts w:eastAsia="Times New Roman"/>
                <w:b/>
                <w:szCs w:val="16"/>
                <w:lang w:eastAsia="en-US"/>
              </w:rPr>
            </w:pPr>
            <w:r w:rsidRPr="004C1243">
              <w:rPr>
                <w:rFonts w:eastAsia="Times New Roman"/>
                <w:b/>
                <w:szCs w:val="16"/>
                <w:lang w:eastAsia="en-US"/>
              </w:rPr>
              <w:t>Región</w:t>
            </w:r>
          </w:p>
          <w:p w14:paraId="39CAD34A" w14:textId="77777777" w:rsidR="00BE157C" w:rsidRPr="004C1243" w:rsidRDefault="00BE157C" w:rsidP="00BE157C">
            <w:pPr>
              <w:spacing w:line="259" w:lineRule="auto"/>
              <w:jc w:val="left"/>
              <w:cnfStyle w:val="000000010000" w:firstRow="0" w:lastRow="0" w:firstColumn="0" w:lastColumn="0" w:oddVBand="0" w:evenVBand="0" w:oddHBand="0" w:evenHBand="1" w:firstRowFirstColumn="0" w:firstRowLastColumn="0" w:lastRowFirstColumn="0" w:lastRowLastColumn="0"/>
              <w:rPr>
                <w:rFonts w:eastAsia="Times New Roman"/>
                <w:b/>
                <w:szCs w:val="16"/>
                <w:lang w:eastAsia="en-US"/>
              </w:rPr>
            </w:pPr>
            <w:r w:rsidRPr="004C1243">
              <w:rPr>
                <w:rFonts w:eastAsia="Times New Roman"/>
                <w:b/>
                <w:szCs w:val="16"/>
                <w:lang w:eastAsia="en-US"/>
              </w:rPr>
              <w:t>Chorotega:</w:t>
            </w:r>
          </w:p>
          <w:p w14:paraId="35188943" w14:textId="77777777" w:rsidR="00BE157C" w:rsidRDefault="00BE157C" w:rsidP="00BE157C">
            <w:pPr>
              <w:spacing w:line="259" w:lineRule="auto"/>
              <w:ind w:left="34"/>
              <w:jc w:val="left"/>
              <w:cnfStyle w:val="000000010000" w:firstRow="0" w:lastRow="0" w:firstColumn="0" w:lastColumn="0" w:oddVBand="0" w:evenVBand="0" w:oddHBand="0" w:evenHBand="1" w:firstRowFirstColumn="0" w:firstRowLastColumn="0" w:lastRowFirstColumn="0" w:lastRowLastColumn="0"/>
              <w:rPr>
                <w:szCs w:val="16"/>
                <w:lang w:eastAsia="en-US"/>
              </w:rPr>
            </w:pPr>
            <w:r w:rsidRPr="00B527A7">
              <w:rPr>
                <w:szCs w:val="16"/>
                <w:lang w:eastAsia="en-US"/>
              </w:rPr>
              <w:t>444,4</w:t>
            </w:r>
            <w:r>
              <w:rPr>
                <w:szCs w:val="16"/>
                <w:lang w:eastAsia="en-US"/>
              </w:rPr>
              <w:t>2</w:t>
            </w:r>
          </w:p>
          <w:p w14:paraId="630A651A" w14:textId="364E008D" w:rsidR="00BE157C" w:rsidRPr="00C43FB6" w:rsidRDefault="00BE157C" w:rsidP="00BE157C">
            <w:pPr>
              <w:cnfStyle w:val="000000010000" w:firstRow="0" w:lastRow="0" w:firstColumn="0" w:lastColumn="0" w:oddVBand="0" w:evenVBand="0" w:oddHBand="0" w:evenHBand="1" w:firstRowFirstColumn="0" w:firstRowLastColumn="0" w:lastRowFirstColumn="0" w:lastRowLastColumn="0"/>
              <w:rPr>
                <w:rFonts w:eastAsia="Times New Roman" w:cs="Tahoma"/>
                <w:szCs w:val="16"/>
              </w:rPr>
            </w:pPr>
          </w:p>
        </w:tc>
        <w:tc>
          <w:tcPr>
            <w:tcW w:w="259" w:type="pct"/>
            <w:shd w:val="clear" w:color="auto" w:fill="F2F2F2" w:themeFill="background1" w:themeFillShade="F2"/>
          </w:tcPr>
          <w:p w14:paraId="09569ED8" w14:textId="77777777" w:rsidR="00BE157C" w:rsidRPr="004C1243" w:rsidRDefault="00BE157C" w:rsidP="00BE157C">
            <w:pPr>
              <w:spacing w:line="259" w:lineRule="auto"/>
              <w:jc w:val="left"/>
              <w:cnfStyle w:val="000000010000" w:firstRow="0" w:lastRow="0" w:firstColumn="0" w:lastColumn="0" w:oddVBand="0" w:evenVBand="0" w:oddHBand="0" w:evenHBand="1" w:firstRowFirstColumn="0" w:firstRowLastColumn="0" w:lastRowFirstColumn="0" w:lastRowLastColumn="0"/>
              <w:rPr>
                <w:rFonts w:eastAsia="Times New Roman"/>
                <w:b/>
                <w:szCs w:val="16"/>
                <w:lang w:eastAsia="en-US"/>
              </w:rPr>
            </w:pPr>
            <w:r w:rsidRPr="004C1243">
              <w:rPr>
                <w:rFonts w:eastAsia="Times New Roman"/>
                <w:b/>
                <w:szCs w:val="16"/>
                <w:lang w:eastAsia="en-US"/>
              </w:rPr>
              <w:t>Región</w:t>
            </w:r>
          </w:p>
          <w:p w14:paraId="5B186D3A" w14:textId="77777777" w:rsidR="00BE157C" w:rsidRPr="004C1243" w:rsidRDefault="00BE157C" w:rsidP="00BE157C">
            <w:pPr>
              <w:spacing w:line="259" w:lineRule="auto"/>
              <w:jc w:val="left"/>
              <w:cnfStyle w:val="000000010000" w:firstRow="0" w:lastRow="0" w:firstColumn="0" w:lastColumn="0" w:oddVBand="0" w:evenVBand="0" w:oddHBand="0" w:evenHBand="1" w:firstRowFirstColumn="0" w:firstRowLastColumn="0" w:lastRowFirstColumn="0" w:lastRowLastColumn="0"/>
              <w:rPr>
                <w:rFonts w:eastAsia="Times New Roman"/>
                <w:b/>
                <w:szCs w:val="16"/>
                <w:lang w:eastAsia="en-US"/>
              </w:rPr>
            </w:pPr>
            <w:r w:rsidRPr="004C1243">
              <w:rPr>
                <w:rFonts w:eastAsia="Times New Roman"/>
                <w:b/>
                <w:szCs w:val="16"/>
                <w:lang w:eastAsia="en-US"/>
              </w:rPr>
              <w:t>Chorotega:</w:t>
            </w:r>
          </w:p>
          <w:p w14:paraId="53234314" w14:textId="77777777" w:rsidR="00BE157C" w:rsidRPr="00A5390A" w:rsidRDefault="00BE157C" w:rsidP="00BE157C">
            <w:pPr>
              <w:spacing w:line="259" w:lineRule="auto"/>
              <w:ind w:left="65"/>
              <w:jc w:val="left"/>
              <w:cnfStyle w:val="000000010000" w:firstRow="0" w:lastRow="0" w:firstColumn="0" w:lastColumn="0" w:oddVBand="0" w:evenVBand="0" w:oddHBand="0" w:evenHBand="1" w:firstRowFirstColumn="0" w:firstRowLastColumn="0" w:lastRowFirstColumn="0" w:lastRowLastColumn="0"/>
              <w:rPr>
                <w:szCs w:val="16"/>
                <w:lang w:eastAsia="en-US"/>
              </w:rPr>
            </w:pPr>
            <w:r w:rsidRPr="00B527A7">
              <w:rPr>
                <w:szCs w:val="16"/>
                <w:lang w:eastAsia="en-US"/>
              </w:rPr>
              <w:t>158,72%</w:t>
            </w:r>
          </w:p>
          <w:p w14:paraId="2C8DD31C" w14:textId="77777777" w:rsidR="00BE157C" w:rsidRPr="00C43FB6" w:rsidRDefault="00BE157C" w:rsidP="00BE157C">
            <w:pPr>
              <w:jc w:val="center"/>
              <w:cnfStyle w:val="000000010000" w:firstRow="0" w:lastRow="0" w:firstColumn="0" w:lastColumn="0" w:oddVBand="0" w:evenVBand="0" w:oddHBand="0" w:evenHBand="1" w:firstRowFirstColumn="0" w:firstRowLastColumn="0" w:lastRowFirstColumn="0" w:lastRowLastColumn="0"/>
              <w:rPr>
                <w:rFonts w:eastAsia="Times New Roman" w:cs="Tahoma"/>
                <w:szCs w:val="16"/>
              </w:rPr>
            </w:pPr>
          </w:p>
        </w:tc>
        <w:tc>
          <w:tcPr>
            <w:tcW w:w="331" w:type="pct"/>
            <w:shd w:val="clear" w:color="auto" w:fill="92D050"/>
            <w:vAlign w:val="center"/>
          </w:tcPr>
          <w:p w14:paraId="57E8B482" w14:textId="1831D655" w:rsidR="00BE157C" w:rsidRPr="00C43FB6" w:rsidRDefault="00BE157C" w:rsidP="00BE157C">
            <w:pPr>
              <w:ind w:left="-44"/>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rPr>
            </w:pPr>
            <w:r w:rsidRPr="007D0F41">
              <w:rPr>
                <w:rFonts w:eastAsia="Times New Roman"/>
                <w:b/>
                <w:szCs w:val="16"/>
              </w:rPr>
              <w:t>Cumplimiento alto</w:t>
            </w:r>
          </w:p>
        </w:tc>
        <w:tc>
          <w:tcPr>
            <w:tcW w:w="3270" w:type="pct"/>
            <w:shd w:val="clear" w:color="auto" w:fill="F2F2F2" w:themeFill="background1" w:themeFillShade="F2"/>
          </w:tcPr>
          <w:p w14:paraId="75806E5A" w14:textId="77777777" w:rsidR="002370A8" w:rsidRPr="0032678E" w:rsidRDefault="002370A8"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Logros </w:t>
            </w:r>
          </w:p>
          <w:p w14:paraId="5B1670F3" w14:textId="77777777" w:rsidR="002370A8" w:rsidRDefault="002370A8"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sidRPr="0032678E">
              <w:rPr>
                <w:rFonts w:ascii="Tahoma" w:hAnsi="Tahoma" w:cs="Tahoma"/>
                <w:sz w:val="16"/>
                <w:szCs w:val="16"/>
              </w:rPr>
              <w:t xml:space="preserve">La Región Chorotega presentó un cumplimiento del 158,72%, resultado que obedece principalmente a que se han mantenido las condiciones para la estabilidad de las actividades artesanales remuneradas, servicios generales con incentivo y actividades laborales Independientes. La implementación de estas actividades ocupacionales para la población privada de libertad ubicada en la región genera beneficios emocionales y sociales para las personas participantes, lo cual fortalece los procesos de inserción social una vez finalizada la medida privativa de libertad. Asimismo, amplía positivamente las alternativas para la formación de hábitos y el desarrollo de habilidades, contribuyendo al mejoramiento de la calidad de vida durante el proceso de reincorporación al entorno social. </w:t>
            </w:r>
          </w:p>
          <w:p w14:paraId="60253F0A" w14:textId="77777777" w:rsidR="0032678E" w:rsidRPr="0032678E" w:rsidRDefault="0032678E"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p w14:paraId="06F7F6AB" w14:textId="77777777" w:rsidR="002370A8" w:rsidRPr="0032678E" w:rsidRDefault="002370A8"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Factores que contribuyeron al cumplimiento de la meta en un nivel superior al 125 %. </w:t>
            </w:r>
          </w:p>
          <w:p w14:paraId="5AA9524E" w14:textId="77777777" w:rsidR="00BE157C" w:rsidRDefault="002370A8" w:rsidP="0032678E">
            <w:pPr>
              <w:widowControl w:val="0"/>
              <w:cnfStyle w:val="000000010000" w:firstRow="0" w:lastRow="0" w:firstColumn="0" w:lastColumn="0" w:oddVBand="0" w:evenVBand="0" w:oddHBand="0" w:evenHBand="1" w:firstRowFirstColumn="0" w:firstRowLastColumn="0" w:lastRowFirstColumn="0" w:lastRowLastColumn="0"/>
              <w:rPr>
                <w:rFonts w:cs="Tahoma"/>
                <w:szCs w:val="16"/>
              </w:rPr>
            </w:pPr>
            <w:r w:rsidRPr="0032678E">
              <w:rPr>
                <w:rFonts w:cs="Tahoma"/>
                <w:szCs w:val="16"/>
              </w:rPr>
              <w:t xml:space="preserve">La superación de la meta se explica principalmente en la participación de las personas privadas de libertad en actividades artesanales remuneradas, servicios generales con incentivo y actividades laborales independientes, como resultado de los esfuerzos institucionales orientados a brindar procesos de atención constantes a la población que cumple una medida privativa de libertad, en apego a las competencias legalmente establecidas. </w:t>
            </w:r>
          </w:p>
          <w:p w14:paraId="38FE4C1D" w14:textId="581A279B" w:rsidR="0032678E" w:rsidRPr="0032678E" w:rsidRDefault="0032678E" w:rsidP="0032678E">
            <w:pPr>
              <w:widowControl w:val="0"/>
              <w:cnfStyle w:val="000000010000" w:firstRow="0" w:lastRow="0" w:firstColumn="0" w:lastColumn="0" w:oddVBand="0" w:evenVBand="0" w:oddHBand="0" w:evenHBand="1" w:firstRowFirstColumn="0" w:firstRowLastColumn="0" w:lastRowFirstColumn="0" w:lastRowLastColumn="0"/>
              <w:rPr>
                <w:rFonts w:cs="Tahoma"/>
                <w:szCs w:val="16"/>
              </w:rPr>
            </w:pPr>
          </w:p>
        </w:tc>
      </w:tr>
      <w:tr w:rsidR="00BE157C" w:rsidRPr="00C43FB6" w14:paraId="6A22DAAF" w14:textId="77777777" w:rsidTr="00BE157C">
        <w:trPr>
          <w:cnfStyle w:val="000000100000" w:firstRow="0" w:lastRow="0" w:firstColumn="0" w:lastColumn="0" w:oddVBand="0" w:evenVBand="0" w:oddHBand="1"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622" w:type="pct"/>
            <w:shd w:val="clear" w:color="auto" w:fill="F2F2F2" w:themeFill="background1" w:themeFillShade="F2"/>
          </w:tcPr>
          <w:p w14:paraId="30947EA6" w14:textId="59876820" w:rsidR="00BE157C" w:rsidRPr="00C43FB6" w:rsidRDefault="00BE157C" w:rsidP="00BE157C">
            <w:pPr>
              <w:rPr>
                <w:rFonts w:eastAsia="Times New Roman" w:cs="Tahoma"/>
                <w:b/>
                <w:szCs w:val="16"/>
              </w:rPr>
            </w:pPr>
            <w:r w:rsidRPr="00C43FB6">
              <w:rPr>
                <w:rFonts w:eastAsia="Times New Roman" w:cs="Tahoma"/>
                <w:b/>
                <w:color w:val="auto"/>
                <w:szCs w:val="16"/>
              </w:rPr>
              <w:t>A.1.2.1</w:t>
            </w:r>
            <w:r w:rsidRPr="00C43FB6">
              <w:rPr>
                <w:rFonts w:eastAsia="Times New Roman" w:cs="Tahoma"/>
                <w:color w:val="auto"/>
                <w:szCs w:val="16"/>
              </w:rPr>
              <w:t xml:space="preserve"> </w:t>
            </w:r>
            <w:r w:rsidRPr="00434ABC">
              <w:rPr>
                <w:rFonts w:eastAsia="Times New Roman" w:cs="Tahoma"/>
                <w:color w:val="auto"/>
                <w:szCs w:val="16"/>
              </w:rPr>
              <w:t>Promedio mensual de personas privadas de libertad que participan en actividades ocupacionales remuneradas y autogestionarias dentro del Sistema Penitenciario Nacional</w:t>
            </w:r>
            <w:r w:rsidRPr="00C43FB6">
              <w:rPr>
                <w:rFonts w:eastAsia="Times New Roman" w:cs="Tahoma"/>
                <w:color w:val="auto"/>
                <w:szCs w:val="16"/>
              </w:rPr>
              <w:t xml:space="preserve">. </w:t>
            </w:r>
            <w:r w:rsidRPr="00C43FB6">
              <w:rPr>
                <w:rFonts w:eastAsia="Times New Roman" w:cs="Tahoma"/>
                <w:b/>
                <w:color w:val="auto"/>
                <w:szCs w:val="16"/>
              </w:rPr>
              <w:t xml:space="preserve">Región Brunca </w:t>
            </w:r>
          </w:p>
        </w:tc>
        <w:tc>
          <w:tcPr>
            <w:tcW w:w="259" w:type="pct"/>
            <w:shd w:val="clear" w:color="auto" w:fill="F2F2F2" w:themeFill="background1" w:themeFillShade="F2"/>
          </w:tcPr>
          <w:p w14:paraId="3275586C" w14:textId="77777777" w:rsidR="00BE157C" w:rsidRPr="004C1243"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b/>
                <w:szCs w:val="16"/>
                <w:lang w:eastAsia="en-US"/>
              </w:rPr>
            </w:pPr>
            <w:r w:rsidRPr="004C1243">
              <w:rPr>
                <w:rFonts w:eastAsia="Times New Roman"/>
                <w:b/>
                <w:szCs w:val="16"/>
                <w:lang w:eastAsia="en-US"/>
              </w:rPr>
              <w:t>Región Pacífico</w:t>
            </w:r>
          </w:p>
          <w:p w14:paraId="5ACE08CA" w14:textId="77777777" w:rsidR="00BE157C" w:rsidRPr="004C1243"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16"/>
                <w:lang w:eastAsia="en-US"/>
              </w:rPr>
            </w:pPr>
            <w:r w:rsidRPr="004C1243">
              <w:rPr>
                <w:rFonts w:eastAsia="Times New Roman"/>
                <w:b/>
                <w:szCs w:val="16"/>
                <w:lang w:eastAsia="en-US"/>
              </w:rPr>
              <w:t>Central</w:t>
            </w:r>
            <w:r w:rsidRPr="004C1243">
              <w:rPr>
                <w:rFonts w:eastAsia="Times New Roman"/>
                <w:szCs w:val="16"/>
                <w:lang w:eastAsia="en-US"/>
              </w:rPr>
              <w:t>:</w:t>
            </w:r>
          </w:p>
          <w:p w14:paraId="599B1621" w14:textId="2D341A41" w:rsidR="00BE157C" w:rsidRPr="00C43FB6" w:rsidRDefault="00BE157C" w:rsidP="00BE157C">
            <w:pPr>
              <w:cnfStyle w:val="000000100000" w:firstRow="0" w:lastRow="0" w:firstColumn="0" w:lastColumn="0" w:oddVBand="0" w:evenVBand="0" w:oddHBand="1" w:evenHBand="0" w:firstRowFirstColumn="0" w:firstRowLastColumn="0" w:lastRowFirstColumn="0" w:lastRowLastColumn="0"/>
              <w:rPr>
                <w:rFonts w:eastAsia="Times New Roman" w:cs="Tahoma"/>
                <w:szCs w:val="16"/>
              </w:rPr>
            </w:pPr>
            <w:r w:rsidRPr="004C1243">
              <w:rPr>
                <w:rFonts w:eastAsia="Times New Roman"/>
                <w:szCs w:val="16"/>
                <w:lang w:eastAsia="en-US"/>
              </w:rPr>
              <w:t>200</w:t>
            </w:r>
          </w:p>
        </w:tc>
        <w:tc>
          <w:tcPr>
            <w:tcW w:w="259" w:type="pct"/>
            <w:shd w:val="clear" w:color="auto" w:fill="F2F2F2" w:themeFill="background1" w:themeFillShade="F2"/>
          </w:tcPr>
          <w:p w14:paraId="27675DDC" w14:textId="77777777" w:rsidR="00BE157C" w:rsidRPr="004C1243"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b/>
                <w:szCs w:val="16"/>
                <w:lang w:eastAsia="en-US"/>
              </w:rPr>
            </w:pPr>
            <w:r w:rsidRPr="004C1243">
              <w:rPr>
                <w:rFonts w:eastAsia="Times New Roman"/>
                <w:b/>
                <w:szCs w:val="16"/>
                <w:lang w:eastAsia="en-US"/>
              </w:rPr>
              <w:t>Región Pacífico</w:t>
            </w:r>
          </w:p>
          <w:p w14:paraId="43887B37" w14:textId="77777777" w:rsidR="00BE157C" w:rsidRPr="004C1243" w:rsidRDefault="00BE157C" w:rsidP="00BE157C">
            <w:pPr>
              <w:jc w:val="left"/>
              <w:cnfStyle w:val="000000100000" w:firstRow="0" w:lastRow="0" w:firstColumn="0" w:lastColumn="0" w:oddVBand="0" w:evenVBand="0" w:oddHBand="1" w:evenHBand="0" w:firstRowFirstColumn="0" w:firstRowLastColumn="0" w:lastRowFirstColumn="0" w:lastRowLastColumn="0"/>
              <w:rPr>
                <w:rFonts w:eastAsia="Times New Roman"/>
                <w:b/>
                <w:szCs w:val="16"/>
              </w:rPr>
            </w:pPr>
            <w:r w:rsidRPr="004C1243">
              <w:rPr>
                <w:rFonts w:eastAsia="Times New Roman"/>
                <w:b/>
                <w:szCs w:val="16"/>
                <w:lang w:eastAsia="en-US"/>
              </w:rPr>
              <w:t>Central</w:t>
            </w:r>
            <w:r w:rsidRPr="004C1243">
              <w:rPr>
                <w:rFonts w:eastAsia="Times New Roman"/>
                <w:b/>
                <w:szCs w:val="16"/>
              </w:rPr>
              <w:t>:</w:t>
            </w:r>
          </w:p>
          <w:p w14:paraId="65EBD2F5" w14:textId="77777777" w:rsidR="00BE157C" w:rsidRDefault="00BE157C" w:rsidP="00BE157C">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0F042C">
              <w:rPr>
                <w:szCs w:val="16"/>
                <w:lang w:eastAsia="en-US"/>
              </w:rPr>
              <w:t>259,92</w:t>
            </w:r>
          </w:p>
          <w:p w14:paraId="59DB8F45" w14:textId="42E00688" w:rsidR="00BE157C" w:rsidRPr="00C43FB6" w:rsidRDefault="00BE157C" w:rsidP="00BE157C">
            <w:pPr>
              <w:cnfStyle w:val="000000100000" w:firstRow="0" w:lastRow="0" w:firstColumn="0" w:lastColumn="0" w:oddVBand="0" w:evenVBand="0" w:oddHBand="1" w:evenHBand="0" w:firstRowFirstColumn="0" w:firstRowLastColumn="0" w:lastRowFirstColumn="0" w:lastRowLastColumn="0"/>
              <w:rPr>
                <w:rFonts w:eastAsia="Times New Roman" w:cs="Tahoma"/>
                <w:szCs w:val="16"/>
              </w:rPr>
            </w:pPr>
          </w:p>
        </w:tc>
        <w:tc>
          <w:tcPr>
            <w:tcW w:w="259" w:type="pct"/>
            <w:shd w:val="clear" w:color="auto" w:fill="F2F2F2" w:themeFill="background1" w:themeFillShade="F2"/>
          </w:tcPr>
          <w:p w14:paraId="26F9B40C" w14:textId="77777777" w:rsidR="00BE157C" w:rsidRPr="004C1243"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b/>
                <w:szCs w:val="16"/>
                <w:lang w:eastAsia="en-US"/>
              </w:rPr>
            </w:pPr>
            <w:r w:rsidRPr="004C1243">
              <w:rPr>
                <w:rFonts w:eastAsia="Times New Roman"/>
                <w:b/>
                <w:szCs w:val="16"/>
                <w:lang w:eastAsia="en-US"/>
              </w:rPr>
              <w:t>Región Pacífico</w:t>
            </w:r>
          </w:p>
          <w:p w14:paraId="547CEE8D" w14:textId="77777777" w:rsidR="00BE157C" w:rsidRPr="004C1243" w:rsidRDefault="00BE157C" w:rsidP="00BE157C">
            <w:pPr>
              <w:jc w:val="left"/>
              <w:cnfStyle w:val="000000100000" w:firstRow="0" w:lastRow="0" w:firstColumn="0" w:lastColumn="0" w:oddVBand="0" w:evenVBand="0" w:oddHBand="1" w:evenHBand="0" w:firstRowFirstColumn="0" w:firstRowLastColumn="0" w:lastRowFirstColumn="0" w:lastRowLastColumn="0"/>
              <w:rPr>
                <w:rFonts w:eastAsia="Times New Roman"/>
                <w:b/>
                <w:szCs w:val="16"/>
              </w:rPr>
            </w:pPr>
            <w:r w:rsidRPr="004C1243">
              <w:rPr>
                <w:rFonts w:eastAsia="Times New Roman"/>
                <w:b/>
                <w:szCs w:val="16"/>
                <w:lang w:eastAsia="en-US"/>
              </w:rPr>
              <w:t>Central</w:t>
            </w:r>
            <w:r w:rsidRPr="004C1243">
              <w:rPr>
                <w:rFonts w:eastAsia="Times New Roman"/>
                <w:b/>
                <w:szCs w:val="16"/>
              </w:rPr>
              <w:t>:</w:t>
            </w:r>
          </w:p>
          <w:p w14:paraId="57D867EB" w14:textId="77777777" w:rsidR="00BE157C" w:rsidRPr="00A5390A"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000257">
              <w:rPr>
                <w:szCs w:val="16"/>
                <w:lang w:eastAsia="en-US"/>
              </w:rPr>
              <w:t>129,96%</w:t>
            </w:r>
          </w:p>
          <w:p w14:paraId="3E94E035" w14:textId="2308E303" w:rsidR="00BE157C" w:rsidRPr="00C43FB6" w:rsidRDefault="00BE157C" w:rsidP="00BE157C">
            <w:pPr>
              <w:jc w:val="left"/>
              <w:cnfStyle w:val="000000100000" w:firstRow="0" w:lastRow="0" w:firstColumn="0" w:lastColumn="0" w:oddVBand="0" w:evenVBand="0" w:oddHBand="1" w:evenHBand="0" w:firstRowFirstColumn="0" w:firstRowLastColumn="0" w:lastRowFirstColumn="0" w:lastRowLastColumn="0"/>
              <w:rPr>
                <w:rFonts w:eastAsia="Times New Roman" w:cs="Tahoma"/>
                <w:szCs w:val="16"/>
              </w:rPr>
            </w:pPr>
          </w:p>
        </w:tc>
        <w:tc>
          <w:tcPr>
            <w:tcW w:w="331" w:type="pct"/>
            <w:shd w:val="clear" w:color="auto" w:fill="92D050"/>
            <w:vAlign w:val="center"/>
          </w:tcPr>
          <w:p w14:paraId="706A2432" w14:textId="379FABC7" w:rsidR="00BE157C" w:rsidRPr="00C43FB6" w:rsidRDefault="00BE157C" w:rsidP="00BE157C">
            <w:pPr>
              <w:ind w:left="-44"/>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6"/>
              </w:rPr>
            </w:pPr>
            <w:r w:rsidRPr="007D0F41">
              <w:rPr>
                <w:rFonts w:eastAsia="Times New Roman"/>
                <w:b/>
                <w:szCs w:val="16"/>
              </w:rPr>
              <w:t>Cumplimiento alto</w:t>
            </w:r>
          </w:p>
        </w:tc>
        <w:tc>
          <w:tcPr>
            <w:tcW w:w="3270" w:type="pct"/>
            <w:shd w:val="clear" w:color="auto" w:fill="F2F2F2" w:themeFill="background1" w:themeFillShade="F2"/>
          </w:tcPr>
          <w:p w14:paraId="2B5CD39C" w14:textId="77777777" w:rsidR="002370A8" w:rsidRPr="0032678E" w:rsidRDefault="002370A8"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Logros </w:t>
            </w:r>
          </w:p>
          <w:p w14:paraId="232ED2AD" w14:textId="77777777" w:rsidR="002370A8" w:rsidRDefault="002370A8"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32678E">
              <w:rPr>
                <w:rFonts w:ascii="Tahoma" w:hAnsi="Tahoma" w:cs="Tahoma"/>
                <w:sz w:val="16"/>
                <w:szCs w:val="16"/>
              </w:rPr>
              <w:t xml:space="preserve">La Región Pacífico Central presentó un cumplimiento del 129,96 %, el cual se explica principalmente por el mantenimiento en la participación de personas privadas de libertad en proyectos agroindustriales, la apertura de nuevas plazas mediante convenios y el desarrollo de actividades artesanales remuneradas. La implementación de estas actividades ocupacionales para la población privada de libertad ubicada en la región genera beneficios emocionales y sociales para las personas participantes, lo cual fortalece los procesos de inserción social una vez finalizada la medida privativa de libertad. Asimismo, amplía positivamente las alternativas para la formación de hábitos y el desarrollo de habilidades, contribuyendo al mejoramiento de la calidad de vida durante el proceso de reincorporación al entorno social. </w:t>
            </w:r>
          </w:p>
          <w:p w14:paraId="117A5209" w14:textId="77777777" w:rsidR="0032678E" w:rsidRPr="0032678E" w:rsidRDefault="0032678E"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p>
          <w:p w14:paraId="565509DE" w14:textId="77777777" w:rsidR="002370A8" w:rsidRPr="0032678E" w:rsidRDefault="002370A8"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Factores que contribuyeron al cumplimiento de la meta en un nivel superior al 125 %. </w:t>
            </w:r>
          </w:p>
          <w:p w14:paraId="79D4C766" w14:textId="77777777" w:rsidR="00BE157C" w:rsidRDefault="002370A8" w:rsidP="0032678E">
            <w:pPr>
              <w:ind w:right="111"/>
              <w:cnfStyle w:val="000000100000" w:firstRow="0" w:lastRow="0" w:firstColumn="0" w:lastColumn="0" w:oddVBand="0" w:evenVBand="0" w:oddHBand="1" w:evenHBand="0" w:firstRowFirstColumn="0" w:firstRowLastColumn="0" w:lastRowFirstColumn="0" w:lastRowLastColumn="0"/>
              <w:rPr>
                <w:rFonts w:cs="Tahoma"/>
                <w:szCs w:val="16"/>
              </w:rPr>
            </w:pPr>
            <w:r w:rsidRPr="0032678E">
              <w:rPr>
                <w:rFonts w:cs="Tahoma"/>
                <w:szCs w:val="16"/>
              </w:rPr>
              <w:t xml:space="preserve">La superación de la meta se explica principalmente por el mantenimiento de la participación de las personas privadas de libertad en proyectos agroindustriales, la apertura de nuevas plazas mediante convenios y el desarrollo de actividades artesanales remuneradas, como resultado de los esfuerzos institucionales orientados a brindar procesos de atención constantes a la población que cumple una medida privativa de libertad, en apego a las competencias legalmente establecidas. </w:t>
            </w:r>
          </w:p>
          <w:p w14:paraId="5DD9085E" w14:textId="68512FCE" w:rsidR="0032678E" w:rsidRPr="0032678E" w:rsidRDefault="0032678E" w:rsidP="0032678E">
            <w:pPr>
              <w:ind w:right="111"/>
              <w:cnfStyle w:val="000000100000" w:firstRow="0" w:lastRow="0" w:firstColumn="0" w:lastColumn="0" w:oddVBand="0" w:evenVBand="0" w:oddHBand="1" w:evenHBand="0" w:firstRowFirstColumn="0" w:firstRowLastColumn="0" w:lastRowFirstColumn="0" w:lastRowLastColumn="0"/>
              <w:rPr>
                <w:rFonts w:eastAsia="Times New Roman" w:cs="Tahoma"/>
                <w:szCs w:val="16"/>
              </w:rPr>
            </w:pPr>
          </w:p>
        </w:tc>
      </w:tr>
      <w:tr w:rsidR="00BE157C" w:rsidRPr="00C43FB6" w14:paraId="176CF4D3" w14:textId="77777777" w:rsidTr="00193349">
        <w:trPr>
          <w:cnfStyle w:val="000000010000" w:firstRow="0" w:lastRow="0" w:firstColumn="0" w:lastColumn="0" w:oddVBand="0" w:evenVBand="0" w:oddHBand="0" w:evenHBand="1"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622" w:type="pct"/>
            <w:shd w:val="clear" w:color="auto" w:fill="F2F2F2" w:themeFill="background1" w:themeFillShade="F2"/>
          </w:tcPr>
          <w:p w14:paraId="562C51ED" w14:textId="4A9898F3" w:rsidR="00BE157C" w:rsidRPr="00C43FB6" w:rsidRDefault="00BE157C" w:rsidP="00BE157C">
            <w:pPr>
              <w:rPr>
                <w:rFonts w:eastAsia="Times New Roman" w:cs="Tahoma"/>
                <w:b/>
                <w:szCs w:val="16"/>
              </w:rPr>
            </w:pPr>
            <w:r w:rsidRPr="00C43FB6">
              <w:rPr>
                <w:rFonts w:eastAsia="Times New Roman" w:cs="Tahoma"/>
                <w:b/>
                <w:color w:val="auto"/>
                <w:szCs w:val="16"/>
              </w:rPr>
              <w:t>A.1.2.1</w:t>
            </w:r>
            <w:r w:rsidRPr="00C43FB6">
              <w:rPr>
                <w:rFonts w:eastAsia="Times New Roman" w:cs="Tahoma"/>
                <w:color w:val="auto"/>
                <w:szCs w:val="16"/>
              </w:rPr>
              <w:t xml:space="preserve"> </w:t>
            </w:r>
            <w:r w:rsidRPr="00434ABC">
              <w:rPr>
                <w:rFonts w:eastAsia="Times New Roman" w:cs="Tahoma"/>
                <w:color w:val="auto"/>
                <w:szCs w:val="16"/>
              </w:rPr>
              <w:t>Promedio mensual de personas privadas de libertad que participan en actividades ocupacionales remuneradas y autogestionarias dentro del Sistema Penitenciario Nacional</w:t>
            </w:r>
            <w:r w:rsidRPr="00C43FB6">
              <w:rPr>
                <w:rFonts w:eastAsia="Times New Roman" w:cs="Tahoma"/>
                <w:color w:val="auto"/>
                <w:szCs w:val="16"/>
              </w:rPr>
              <w:t xml:space="preserve">. </w:t>
            </w:r>
            <w:r w:rsidRPr="00C43FB6">
              <w:rPr>
                <w:rFonts w:eastAsia="Times New Roman" w:cs="Tahoma"/>
                <w:b/>
                <w:color w:val="auto"/>
                <w:szCs w:val="16"/>
              </w:rPr>
              <w:t>Región Huetar Caribe</w:t>
            </w:r>
          </w:p>
        </w:tc>
        <w:tc>
          <w:tcPr>
            <w:tcW w:w="259" w:type="pct"/>
            <w:shd w:val="clear" w:color="auto" w:fill="F2F2F2" w:themeFill="background1" w:themeFillShade="F2"/>
          </w:tcPr>
          <w:p w14:paraId="6EDF69BE" w14:textId="77777777" w:rsidR="00BE157C" w:rsidRPr="004C1243" w:rsidRDefault="00BE157C" w:rsidP="00BE157C">
            <w:pPr>
              <w:spacing w:line="259" w:lineRule="auto"/>
              <w:jc w:val="left"/>
              <w:cnfStyle w:val="000000010000" w:firstRow="0" w:lastRow="0" w:firstColumn="0" w:lastColumn="0" w:oddVBand="0" w:evenVBand="0" w:oddHBand="0" w:evenHBand="1" w:firstRowFirstColumn="0" w:firstRowLastColumn="0" w:lastRowFirstColumn="0" w:lastRowLastColumn="0"/>
              <w:rPr>
                <w:rFonts w:eastAsia="Times New Roman"/>
                <w:b/>
                <w:szCs w:val="16"/>
                <w:lang w:eastAsia="en-US"/>
              </w:rPr>
            </w:pPr>
            <w:r w:rsidRPr="004C1243">
              <w:rPr>
                <w:rFonts w:eastAsia="Times New Roman"/>
                <w:b/>
                <w:szCs w:val="16"/>
                <w:lang w:eastAsia="en-US"/>
              </w:rPr>
              <w:t>Región Brunca:</w:t>
            </w:r>
          </w:p>
          <w:p w14:paraId="706BB888" w14:textId="0BE87E3C" w:rsidR="00BE157C" w:rsidRPr="00C43FB6" w:rsidRDefault="00BE157C" w:rsidP="00BE157C">
            <w:pPr>
              <w:cnfStyle w:val="000000010000" w:firstRow="0" w:lastRow="0" w:firstColumn="0" w:lastColumn="0" w:oddVBand="0" w:evenVBand="0" w:oddHBand="0" w:evenHBand="1" w:firstRowFirstColumn="0" w:firstRowLastColumn="0" w:lastRowFirstColumn="0" w:lastRowLastColumn="0"/>
              <w:rPr>
                <w:rFonts w:eastAsia="Times New Roman" w:cs="Tahoma"/>
                <w:szCs w:val="16"/>
              </w:rPr>
            </w:pPr>
            <w:r w:rsidRPr="004C1243">
              <w:rPr>
                <w:rFonts w:eastAsia="Times New Roman"/>
                <w:szCs w:val="16"/>
                <w:lang w:eastAsia="en-US"/>
              </w:rPr>
              <w:t>490</w:t>
            </w:r>
          </w:p>
        </w:tc>
        <w:tc>
          <w:tcPr>
            <w:tcW w:w="259" w:type="pct"/>
            <w:shd w:val="clear" w:color="auto" w:fill="F2F2F2" w:themeFill="background1" w:themeFillShade="F2"/>
          </w:tcPr>
          <w:p w14:paraId="2C1CFB1A" w14:textId="77777777" w:rsidR="00BE157C" w:rsidRPr="004C1243" w:rsidRDefault="00BE157C" w:rsidP="00BE157C">
            <w:pPr>
              <w:jc w:val="left"/>
              <w:cnfStyle w:val="000000010000" w:firstRow="0" w:lastRow="0" w:firstColumn="0" w:lastColumn="0" w:oddVBand="0" w:evenVBand="0" w:oddHBand="0" w:evenHBand="1" w:firstRowFirstColumn="0" w:firstRowLastColumn="0" w:lastRowFirstColumn="0" w:lastRowLastColumn="0"/>
              <w:rPr>
                <w:rFonts w:eastAsia="Times New Roman"/>
                <w:b/>
                <w:szCs w:val="16"/>
              </w:rPr>
            </w:pPr>
            <w:r w:rsidRPr="004C1243">
              <w:rPr>
                <w:rFonts w:eastAsia="Times New Roman"/>
                <w:b/>
                <w:szCs w:val="16"/>
                <w:lang w:eastAsia="en-US"/>
              </w:rPr>
              <w:t>Región Brunca</w:t>
            </w:r>
            <w:r w:rsidRPr="004C1243">
              <w:rPr>
                <w:rFonts w:eastAsia="Times New Roman"/>
                <w:b/>
                <w:szCs w:val="16"/>
              </w:rPr>
              <w:t>:</w:t>
            </w:r>
          </w:p>
          <w:p w14:paraId="4F70933A" w14:textId="6ED9DC4D" w:rsidR="00BE157C" w:rsidRPr="00C43FB6" w:rsidRDefault="00BE157C" w:rsidP="00BE157C">
            <w:pPr>
              <w:cnfStyle w:val="000000010000" w:firstRow="0" w:lastRow="0" w:firstColumn="0" w:lastColumn="0" w:oddVBand="0" w:evenVBand="0" w:oddHBand="0" w:evenHBand="1" w:firstRowFirstColumn="0" w:firstRowLastColumn="0" w:lastRowFirstColumn="0" w:lastRowLastColumn="0"/>
              <w:rPr>
                <w:rFonts w:eastAsia="Times New Roman" w:cs="Tahoma"/>
                <w:b/>
                <w:szCs w:val="16"/>
              </w:rPr>
            </w:pPr>
            <w:r w:rsidRPr="00733872">
              <w:rPr>
                <w:rFonts w:eastAsia="Times New Roman"/>
                <w:szCs w:val="16"/>
              </w:rPr>
              <w:t>399,50</w:t>
            </w:r>
          </w:p>
        </w:tc>
        <w:tc>
          <w:tcPr>
            <w:tcW w:w="259" w:type="pct"/>
            <w:shd w:val="clear" w:color="auto" w:fill="F2F2F2" w:themeFill="background1" w:themeFillShade="F2"/>
          </w:tcPr>
          <w:p w14:paraId="17504395" w14:textId="77777777" w:rsidR="00BE157C" w:rsidRPr="004C1243" w:rsidRDefault="00BE157C" w:rsidP="00BE157C">
            <w:pPr>
              <w:jc w:val="left"/>
              <w:cnfStyle w:val="000000010000" w:firstRow="0" w:lastRow="0" w:firstColumn="0" w:lastColumn="0" w:oddVBand="0" w:evenVBand="0" w:oddHBand="0" w:evenHBand="1" w:firstRowFirstColumn="0" w:firstRowLastColumn="0" w:lastRowFirstColumn="0" w:lastRowLastColumn="0"/>
              <w:rPr>
                <w:rFonts w:eastAsia="Times New Roman"/>
                <w:b/>
                <w:szCs w:val="16"/>
              </w:rPr>
            </w:pPr>
            <w:r w:rsidRPr="004C1243">
              <w:rPr>
                <w:rFonts w:eastAsia="Times New Roman"/>
                <w:b/>
                <w:szCs w:val="16"/>
                <w:lang w:eastAsia="en-US"/>
              </w:rPr>
              <w:t>Región Brunca</w:t>
            </w:r>
            <w:r w:rsidRPr="004C1243">
              <w:rPr>
                <w:rFonts w:eastAsia="Times New Roman"/>
                <w:b/>
                <w:szCs w:val="16"/>
              </w:rPr>
              <w:t>:</w:t>
            </w:r>
          </w:p>
          <w:p w14:paraId="7D3D7A1A" w14:textId="77777777" w:rsidR="00BE157C" w:rsidRPr="00A5390A" w:rsidRDefault="00BE157C" w:rsidP="00BE157C">
            <w:pPr>
              <w:spacing w:line="259" w:lineRule="auto"/>
              <w:jc w:val="left"/>
              <w:cnfStyle w:val="000000010000" w:firstRow="0" w:lastRow="0" w:firstColumn="0" w:lastColumn="0" w:oddVBand="0" w:evenVBand="0" w:oddHBand="0" w:evenHBand="1" w:firstRowFirstColumn="0" w:firstRowLastColumn="0" w:lastRowFirstColumn="0" w:lastRowLastColumn="0"/>
              <w:rPr>
                <w:b/>
                <w:szCs w:val="16"/>
                <w:lang w:eastAsia="en-US"/>
              </w:rPr>
            </w:pPr>
            <w:r w:rsidRPr="000118D0">
              <w:rPr>
                <w:szCs w:val="16"/>
                <w:lang w:eastAsia="en-US"/>
              </w:rPr>
              <w:t>81,53%</w:t>
            </w:r>
          </w:p>
          <w:p w14:paraId="54FD6132" w14:textId="36E5573B" w:rsidR="00BE157C" w:rsidRPr="00C43FB6" w:rsidRDefault="00BE157C" w:rsidP="00BE157C">
            <w:pPr>
              <w:cnfStyle w:val="000000010000" w:firstRow="0" w:lastRow="0" w:firstColumn="0" w:lastColumn="0" w:oddVBand="0" w:evenVBand="0" w:oddHBand="0" w:evenHBand="1" w:firstRowFirstColumn="0" w:firstRowLastColumn="0" w:lastRowFirstColumn="0" w:lastRowLastColumn="0"/>
              <w:rPr>
                <w:rFonts w:eastAsia="Times New Roman" w:cs="Tahoma"/>
                <w:szCs w:val="16"/>
              </w:rPr>
            </w:pPr>
          </w:p>
        </w:tc>
        <w:tc>
          <w:tcPr>
            <w:tcW w:w="331" w:type="pct"/>
            <w:shd w:val="clear" w:color="auto" w:fill="FFFF00"/>
            <w:vAlign w:val="center"/>
          </w:tcPr>
          <w:p w14:paraId="17869BF9" w14:textId="2D731186" w:rsidR="00BE157C" w:rsidRPr="00C43FB6" w:rsidRDefault="00BE157C" w:rsidP="00BE157C">
            <w:pPr>
              <w:ind w:left="-44"/>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rPr>
            </w:pPr>
            <w:r w:rsidRPr="004C1243">
              <w:rPr>
                <w:rFonts w:eastAsia="Arial Unicode MS"/>
                <w:b/>
                <w:szCs w:val="16"/>
                <w:lang w:eastAsia="en-US"/>
              </w:rPr>
              <w:t>Cumplimiento medio</w:t>
            </w:r>
          </w:p>
        </w:tc>
        <w:tc>
          <w:tcPr>
            <w:tcW w:w="3270" w:type="pct"/>
            <w:shd w:val="clear" w:color="auto" w:fill="F2F2F2" w:themeFill="background1" w:themeFillShade="F2"/>
          </w:tcPr>
          <w:p w14:paraId="55D68F51" w14:textId="77777777" w:rsidR="00E91F9D" w:rsidRPr="0032678E" w:rsidRDefault="00E91F9D"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Obstáculos </w:t>
            </w:r>
          </w:p>
          <w:p w14:paraId="23450566" w14:textId="77777777" w:rsidR="00E91F9D" w:rsidRPr="0032678E" w:rsidRDefault="00E91F9D"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sidRPr="0032678E">
              <w:rPr>
                <w:rFonts w:ascii="Tahoma" w:hAnsi="Tahoma" w:cs="Tahoma"/>
                <w:sz w:val="16"/>
                <w:szCs w:val="16"/>
              </w:rPr>
              <w:t xml:space="preserve">La Región Brunca ha presentado el mismo rezago en el cumplimiento del indicador durante varios informes consecutivos. Las principales limitaciones institucionales se concentran en los ámbitos operativo y financiero, particularmente en la apertura de plazas ocupacionales con incentivo en servicios generales y proyectos agroindustriales, debido a que el presupuesto asignado no ha registrado incrementos en el período analizado, lo que configura un riesgo financiero y operativo. </w:t>
            </w:r>
          </w:p>
          <w:p w14:paraId="29ECCDE8" w14:textId="77777777" w:rsidR="00E91F9D" w:rsidRDefault="00E91F9D"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sidRPr="0032678E">
              <w:rPr>
                <w:rFonts w:ascii="Tahoma" w:hAnsi="Tahoma" w:cs="Tahoma"/>
                <w:sz w:val="16"/>
                <w:szCs w:val="16"/>
              </w:rPr>
              <w:t xml:space="preserve">Se destaca una disminución en la participación de personas privadas de libertad en actividades remuneradas con empresas privadas, en servicios generales con incentivo y en actividades artesanales remuneradas. Esta situación obedece a los cambios normativos implementados en el Sistema Penitenciario Nacional, a la complejidad operativa que implica el desarrollo de este tipo de actividades dentro del sistema, así como a las dificultades para generar convenios con empresas privadas, derivadas del reto que representa para estas desarrollar sus actividades dentro de establecimientos penitenciarios y de las condiciones del contexto socioeconómico regional, tales como el limitado acceso al empleo y la dinámica empresarial para la generación de nuevos convenios. Lo anterior configura un riesgo de carácter normativo y operativo. </w:t>
            </w:r>
          </w:p>
          <w:p w14:paraId="3CA597C8" w14:textId="77777777" w:rsidR="0032678E" w:rsidRPr="0032678E" w:rsidRDefault="0032678E"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p w14:paraId="7CA40B6E" w14:textId="77777777" w:rsidR="00E91F9D" w:rsidRPr="0032678E" w:rsidRDefault="00E91F9D"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Resultados de las medidas de mejora establecidas en los informes anteriores. </w:t>
            </w:r>
          </w:p>
          <w:p w14:paraId="3C57661C" w14:textId="77777777" w:rsidR="00E91F9D" w:rsidRDefault="00E91F9D"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sidRPr="0032678E">
              <w:rPr>
                <w:rFonts w:ascii="Tahoma" w:hAnsi="Tahoma" w:cs="Tahoma"/>
                <w:sz w:val="16"/>
                <w:szCs w:val="16"/>
              </w:rPr>
              <w:t xml:space="preserve">Las medidas de mejora establecidas en informes anteriores no han generado cambios significativos que permitan un incremento sustantivo en el cumplimiento de la meta en esta zona geográfica, evidenciando la necesidad de replantear las estrategias aplicadas. </w:t>
            </w:r>
          </w:p>
          <w:p w14:paraId="5A5909D4" w14:textId="77777777" w:rsidR="0032678E" w:rsidRPr="0032678E" w:rsidRDefault="0032678E"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p>
          <w:p w14:paraId="7FF5106B" w14:textId="77777777" w:rsidR="00E91F9D" w:rsidRPr="0032678E" w:rsidRDefault="00E91F9D" w:rsidP="0032678E">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Lecciones aprendidas: </w:t>
            </w:r>
          </w:p>
          <w:p w14:paraId="5F55990A" w14:textId="77777777" w:rsidR="00BE157C" w:rsidRDefault="00E91F9D" w:rsidP="0032678E">
            <w:pPr>
              <w:widowControl w:val="0"/>
              <w:cnfStyle w:val="000000010000" w:firstRow="0" w:lastRow="0" w:firstColumn="0" w:lastColumn="0" w:oddVBand="0" w:evenVBand="0" w:oddHBand="0" w:evenHBand="1" w:firstRowFirstColumn="0" w:firstRowLastColumn="0" w:lastRowFirstColumn="0" w:lastRowLastColumn="0"/>
              <w:rPr>
                <w:rFonts w:cs="Tahoma"/>
                <w:szCs w:val="16"/>
              </w:rPr>
            </w:pPr>
            <w:r w:rsidRPr="0032678E">
              <w:rPr>
                <w:rFonts w:cs="Tahoma"/>
                <w:szCs w:val="16"/>
              </w:rPr>
              <w:t xml:space="preserve">El rezago persistente en la Región Brunca evidencia que el desempeño del indicador está condicionado por limitaciones estructurales, operativas y financieras, particularmente la falta de crecimiento presupuestario, los cambios normativos y la complejidad operativa del Sistema Penitenciario Nacional. Asimismo, el contexto socioeconómico regional, caracterizado por un limitado acceso al empleo y baja dinámica empresarial, restringe la generación de convenios con empresas privadas. En consecuencia, se requiere la implementación de estrategias diferenciadas y focalizadas, acordes con las particularidades de la región, para mejorar el cumplimiento de la meta. </w:t>
            </w:r>
          </w:p>
          <w:p w14:paraId="2FBA416E" w14:textId="4AE9C491" w:rsidR="00B705B0" w:rsidRPr="0032678E" w:rsidRDefault="00B705B0" w:rsidP="0032678E">
            <w:pPr>
              <w:widowControl w:val="0"/>
              <w:cnfStyle w:val="000000010000" w:firstRow="0" w:lastRow="0" w:firstColumn="0" w:lastColumn="0" w:oddVBand="0" w:evenVBand="0" w:oddHBand="0" w:evenHBand="1" w:firstRowFirstColumn="0" w:firstRowLastColumn="0" w:lastRowFirstColumn="0" w:lastRowLastColumn="0"/>
              <w:rPr>
                <w:rFonts w:cs="Tahoma"/>
                <w:szCs w:val="16"/>
              </w:rPr>
            </w:pPr>
          </w:p>
        </w:tc>
      </w:tr>
      <w:tr w:rsidR="00BE157C" w:rsidRPr="00C43FB6" w14:paraId="7FA8BB36" w14:textId="77777777" w:rsidTr="00BE157C">
        <w:trPr>
          <w:cnfStyle w:val="000000100000" w:firstRow="0" w:lastRow="0" w:firstColumn="0" w:lastColumn="0" w:oddVBand="0" w:evenVBand="0" w:oddHBand="1" w:evenHBand="0" w:firstRowFirstColumn="0" w:firstRowLastColumn="0" w:lastRowFirstColumn="0" w:lastRowLastColumn="0"/>
          <w:trHeight w:val="1311"/>
        </w:trPr>
        <w:tc>
          <w:tcPr>
            <w:cnfStyle w:val="001000000000" w:firstRow="0" w:lastRow="0" w:firstColumn="1" w:lastColumn="0" w:oddVBand="0" w:evenVBand="0" w:oddHBand="0" w:evenHBand="0" w:firstRowFirstColumn="0" w:firstRowLastColumn="0" w:lastRowFirstColumn="0" w:lastRowLastColumn="0"/>
            <w:tcW w:w="622" w:type="pct"/>
            <w:shd w:val="clear" w:color="auto" w:fill="F2F2F2" w:themeFill="background1" w:themeFillShade="F2"/>
          </w:tcPr>
          <w:p w14:paraId="49F910A7" w14:textId="4B4E6E03" w:rsidR="00BE157C" w:rsidRPr="00C43FB6" w:rsidRDefault="00BE157C" w:rsidP="00BE157C">
            <w:pPr>
              <w:rPr>
                <w:rFonts w:eastAsia="Times New Roman" w:cs="Tahoma"/>
                <w:b/>
                <w:szCs w:val="16"/>
              </w:rPr>
            </w:pPr>
            <w:r w:rsidRPr="00C43FB6">
              <w:rPr>
                <w:rFonts w:eastAsia="Times New Roman" w:cs="Tahoma"/>
                <w:b/>
                <w:color w:val="auto"/>
                <w:szCs w:val="16"/>
              </w:rPr>
              <w:lastRenderedPageBreak/>
              <w:t>A.1.2.1</w:t>
            </w:r>
            <w:r w:rsidRPr="00C43FB6">
              <w:rPr>
                <w:rFonts w:eastAsia="Times New Roman" w:cs="Tahoma"/>
                <w:color w:val="auto"/>
                <w:szCs w:val="16"/>
              </w:rPr>
              <w:t xml:space="preserve"> </w:t>
            </w:r>
            <w:r w:rsidRPr="00033287">
              <w:rPr>
                <w:szCs w:val="16"/>
                <w:lang w:eastAsia="en-US"/>
              </w:rPr>
              <w:t>Promedio mensual de personas privadas de libertad que participan en actividades ocupacionales remuneradas y autogestionarias dentro del Sistema Penitenciario Nacional</w:t>
            </w:r>
            <w:r w:rsidRPr="00C43FB6">
              <w:rPr>
                <w:rFonts w:eastAsia="Times New Roman" w:cs="Tahoma"/>
                <w:color w:val="auto"/>
                <w:szCs w:val="16"/>
              </w:rPr>
              <w:t xml:space="preserve">. </w:t>
            </w:r>
            <w:r w:rsidRPr="00C43FB6">
              <w:rPr>
                <w:rFonts w:eastAsia="Times New Roman" w:cs="Tahoma"/>
                <w:b/>
                <w:color w:val="auto"/>
                <w:szCs w:val="16"/>
              </w:rPr>
              <w:t>Región Chorotega</w:t>
            </w:r>
          </w:p>
        </w:tc>
        <w:tc>
          <w:tcPr>
            <w:tcW w:w="259" w:type="pct"/>
            <w:shd w:val="clear" w:color="auto" w:fill="F2F2F2" w:themeFill="background1" w:themeFillShade="F2"/>
          </w:tcPr>
          <w:p w14:paraId="283A128E" w14:textId="77777777" w:rsidR="00BE157C" w:rsidRPr="004C1243"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b/>
                <w:szCs w:val="16"/>
                <w:lang w:eastAsia="en-US"/>
              </w:rPr>
            </w:pPr>
            <w:r w:rsidRPr="004C1243">
              <w:rPr>
                <w:rFonts w:eastAsia="Times New Roman"/>
                <w:b/>
                <w:szCs w:val="16"/>
                <w:lang w:eastAsia="en-US"/>
              </w:rPr>
              <w:t>Región Huetar</w:t>
            </w:r>
          </w:p>
          <w:p w14:paraId="56E6995E" w14:textId="77777777" w:rsidR="00BE157C" w:rsidRPr="004C1243"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b/>
                <w:szCs w:val="16"/>
                <w:lang w:eastAsia="en-US"/>
              </w:rPr>
            </w:pPr>
            <w:r w:rsidRPr="004C1243">
              <w:rPr>
                <w:rFonts w:eastAsia="Times New Roman"/>
                <w:b/>
                <w:szCs w:val="16"/>
                <w:lang w:eastAsia="en-US"/>
              </w:rPr>
              <w:t>Caribe:</w:t>
            </w:r>
          </w:p>
          <w:p w14:paraId="410DBA19" w14:textId="6796856F" w:rsidR="00BE157C" w:rsidRPr="00C43FB6" w:rsidRDefault="00BE157C" w:rsidP="00BE157C">
            <w:pPr>
              <w:cnfStyle w:val="000000100000" w:firstRow="0" w:lastRow="0" w:firstColumn="0" w:lastColumn="0" w:oddVBand="0" w:evenVBand="0" w:oddHBand="1" w:evenHBand="0" w:firstRowFirstColumn="0" w:firstRowLastColumn="0" w:lastRowFirstColumn="0" w:lastRowLastColumn="0"/>
              <w:rPr>
                <w:rFonts w:eastAsia="Times New Roman" w:cs="Tahoma"/>
                <w:szCs w:val="16"/>
              </w:rPr>
            </w:pPr>
            <w:r w:rsidRPr="004C1243">
              <w:rPr>
                <w:rFonts w:eastAsia="Times New Roman"/>
                <w:szCs w:val="16"/>
                <w:lang w:eastAsia="en-US"/>
              </w:rPr>
              <w:t>900</w:t>
            </w:r>
          </w:p>
        </w:tc>
        <w:tc>
          <w:tcPr>
            <w:tcW w:w="259" w:type="pct"/>
            <w:shd w:val="clear" w:color="auto" w:fill="F2F2F2" w:themeFill="background1" w:themeFillShade="F2"/>
          </w:tcPr>
          <w:p w14:paraId="0A9B3BDE" w14:textId="77777777" w:rsidR="00BE157C" w:rsidRPr="004C1243"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b/>
                <w:szCs w:val="16"/>
                <w:lang w:eastAsia="en-US"/>
              </w:rPr>
            </w:pPr>
            <w:r w:rsidRPr="004C1243">
              <w:rPr>
                <w:rFonts w:eastAsia="Times New Roman"/>
                <w:b/>
                <w:szCs w:val="16"/>
                <w:lang w:eastAsia="en-US"/>
              </w:rPr>
              <w:t>Región Huetar</w:t>
            </w:r>
          </w:p>
          <w:p w14:paraId="00545DC3" w14:textId="77777777" w:rsidR="00BE157C" w:rsidRPr="004C1243" w:rsidRDefault="00BE157C" w:rsidP="00BE157C">
            <w:pPr>
              <w:jc w:val="left"/>
              <w:cnfStyle w:val="000000100000" w:firstRow="0" w:lastRow="0" w:firstColumn="0" w:lastColumn="0" w:oddVBand="0" w:evenVBand="0" w:oddHBand="1" w:evenHBand="0" w:firstRowFirstColumn="0" w:firstRowLastColumn="0" w:lastRowFirstColumn="0" w:lastRowLastColumn="0"/>
              <w:rPr>
                <w:rFonts w:eastAsia="Times New Roman"/>
                <w:b/>
                <w:szCs w:val="16"/>
              </w:rPr>
            </w:pPr>
            <w:r w:rsidRPr="004C1243">
              <w:rPr>
                <w:rFonts w:eastAsia="Times New Roman"/>
                <w:b/>
                <w:szCs w:val="16"/>
                <w:lang w:eastAsia="en-US"/>
              </w:rPr>
              <w:t>Caribe</w:t>
            </w:r>
            <w:r w:rsidRPr="004C1243">
              <w:rPr>
                <w:rFonts w:eastAsia="Times New Roman"/>
                <w:b/>
                <w:szCs w:val="16"/>
              </w:rPr>
              <w:t>:</w:t>
            </w:r>
          </w:p>
          <w:p w14:paraId="3F9DB877" w14:textId="77777777" w:rsidR="00BE157C" w:rsidRDefault="00BE157C" w:rsidP="00BE157C">
            <w:pPr>
              <w:spacing w:line="259" w:lineRule="auto"/>
              <w:ind w:left="34"/>
              <w:jc w:val="left"/>
              <w:cnfStyle w:val="000000100000" w:firstRow="0" w:lastRow="0" w:firstColumn="0" w:lastColumn="0" w:oddVBand="0" w:evenVBand="0" w:oddHBand="1" w:evenHBand="0" w:firstRowFirstColumn="0" w:firstRowLastColumn="0" w:lastRowFirstColumn="0" w:lastRowLastColumn="0"/>
              <w:rPr>
                <w:szCs w:val="16"/>
                <w:lang w:eastAsia="en-US"/>
              </w:rPr>
            </w:pPr>
            <w:r w:rsidRPr="00390583">
              <w:rPr>
                <w:szCs w:val="16"/>
                <w:lang w:eastAsia="en-US"/>
              </w:rPr>
              <w:t>998,42</w:t>
            </w:r>
          </w:p>
          <w:p w14:paraId="7C87523C" w14:textId="1489EECF" w:rsidR="00BE157C" w:rsidRPr="00C43FB6" w:rsidRDefault="00BE157C" w:rsidP="00BE157C">
            <w:pPr>
              <w:cnfStyle w:val="000000100000" w:firstRow="0" w:lastRow="0" w:firstColumn="0" w:lastColumn="0" w:oddVBand="0" w:evenVBand="0" w:oddHBand="1" w:evenHBand="0" w:firstRowFirstColumn="0" w:firstRowLastColumn="0" w:lastRowFirstColumn="0" w:lastRowLastColumn="0"/>
              <w:rPr>
                <w:rFonts w:eastAsia="Times New Roman" w:cs="Tahoma"/>
                <w:b/>
                <w:szCs w:val="16"/>
              </w:rPr>
            </w:pPr>
          </w:p>
        </w:tc>
        <w:tc>
          <w:tcPr>
            <w:tcW w:w="259" w:type="pct"/>
            <w:shd w:val="clear" w:color="auto" w:fill="F2F2F2" w:themeFill="background1" w:themeFillShade="F2"/>
          </w:tcPr>
          <w:p w14:paraId="2B812444" w14:textId="77777777" w:rsidR="00BE157C" w:rsidRPr="004C1243"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b/>
                <w:szCs w:val="16"/>
                <w:lang w:eastAsia="en-US"/>
              </w:rPr>
            </w:pPr>
            <w:r w:rsidRPr="004C1243">
              <w:rPr>
                <w:rFonts w:eastAsia="Times New Roman"/>
                <w:b/>
                <w:szCs w:val="16"/>
                <w:lang w:eastAsia="en-US"/>
              </w:rPr>
              <w:t>Región Huetar</w:t>
            </w:r>
          </w:p>
          <w:p w14:paraId="14591DDF" w14:textId="77777777" w:rsidR="00BE157C" w:rsidRPr="004C1243" w:rsidRDefault="00BE157C" w:rsidP="00BE157C">
            <w:pPr>
              <w:jc w:val="left"/>
              <w:cnfStyle w:val="000000100000" w:firstRow="0" w:lastRow="0" w:firstColumn="0" w:lastColumn="0" w:oddVBand="0" w:evenVBand="0" w:oddHBand="1" w:evenHBand="0" w:firstRowFirstColumn="0" w:firstRowLastColumn="0" w:lastRowFirstColumn="0" w:lastRowLastColumn="0"/>
              <w:rPr>
                <w:rFonts w:eastAsia="Times New Roman"/>
                <w:b/>
                <w:szCs w:val="16"/>
              </w:rPr>
            </w:pPr>
            <w:r w:rsidRPr="004C1243">
              <w:rPr>
                <w:rFonts w:eastAsia="Times New Roman"/>
                <w:b/>
                <w:szCs w:val="16"/>
                <w:lang w:eastAsia="en-US"/>
              </w:rPr>
              <w:t>Caribe</w:t>
            </w:r>
            <w:r w:rsidRPr="004C1243">
              <w:rPr>
                <w:rFonts w:eastAsia="Times New Roman"/>
                <w:b/>
                <w:szCs w:val="16"/>
              </w:rPr>
              <w:t>:</w:t>
            </w:r>
          </w:p>
          <w:p w14:paraId="39DBAD55" w14:textId="77777777" w:rsidR="00BE157C" w:rsidRPr="00A5390A" w:rsidRDefault="00BE157C" w:rsidP="00BE157C">
            <w:pPr>
              <w:spacing w:line="259" w:lineRule="auto"/>
              <w:jc w:val="left"/>
              <w:cnfStyle w:val="000000100000" w:firstRow="0" w:lastRow="0" w:firstColumn="0" w:lastColumn="0" w:oddVBand="0" w:evenVBand="0" w:oddHBand="1" w:evenHBand="0" w:firstRowFirstColumn="0" w:firstRowLastColumn="0" w:lastRowFirstColumn="0" w:lastRowLastColumn="0"/>
              <w:rPr>
                <w:b/>
                <w:szCs w:val="16"/>
                <w:lang w:eastAsia="en-US"/>
              </w:rPr>
            </w:pPr>
            <w:r w:rsidRPr="00390583">
              <w:rPr>
                <w:szCs w:val="16"/>
                <w:lang w:eastAsia="en-US"/>
              </w:rPr>
              <w:t>110,94%</w:t>
            </w:r>
          </w:p>
          <w:p w14:paraId="7D68DE37" w14:textId="20BA70AB" w:rsidR="00BE157C" w:rsidRPr="00C43FB6" w:rsidRDefault="00BE157C" w:rsidP="00BE157C">
            <w:pPr>
              <w:cnfStyle w:val="000000100000" w:firstRow="0" w:lastRow="0" w:firstColumn="0" w:lastColumn="0" w:oddVBand="0" w:evenVBand="0" w:oddHBand="1" w:evenHBand="0" w:firstRowFirstColumn="0" w:firstRowLastColumn="0" w:lastRowFirstColumn="0" w:lastRowLastColumn="0"/>
              <w:rPr>
                <w:rFonts w:eastAsia="Times New Roman" w:cs="Tahoma"/>
                <w:szCs w:val="16"/>
              </w:rPr>
            </w:pPr>
          </w:p>
        </w:tc>
        <w:tc>
          <w:tcPr>
            <w:tcW w:w="331" w:type="pct"/>
            <w:shd w:val="clear" w:color="auto" w:fill="92D050"/>
            <w:vAlign w:val="center"/>
          </w:tcPr>
          <w:p w14:paraId="3B21F27F" w14:textId="6EA99A7D" w:rsidR="00BE157C" w:rsidRPr="00C43FB6" w:rsidRDefault="00BE157C" w:rsidP="00BE157C">
            <w:pPr>
              <w:ind w:left="-44"/>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6"/>
              </w:rPr>
            </w:pPr>
            <w:r w:rsidRPr="004C1243">
              <w:rPr>
                <w:rFonts w:eastAsia="Times New Roman"/>
                <w:b/>
                <w:szCs w:val="16"/>
              </w:rPr>
              <w:t>Cumplimiento alto</w:t>
            </w:r>
          </w:p>
        </w:tc>
        <w:tc>
          <w:tcPr>
            <w:tcW w:w="3270" w:type="pct"/>
            <w:shd w:val="clear" w:color="auto" w:fill="F2F2F2" w:themeFill="background1" w:themeFillShade="F2"/>
          </w:tcPr>
          <w:p w14:paraId="667FBFA2" w14:textId="77777777" w:rsidR="00E91F9D" w:rsidRPr="0032678E" w:rsidRDefault="00E91F9D" w:rsidP="0032678E">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Logros </w:t>
            </w:r>
          </w:p>
          <w:p w14:paraId="3E7DEAE2" w14:textId="739E0B91" w:rsidR="00BE157C" w:rsidRPr="0032678E" w:rsidRDefault="00E91F9D" w:rsidP="0032678E">
            <w:pPr>
              <w:widowControl w:val="0"/>
              <w:cnfStyle w:val="000000100000" w:firstRow="0" w:lastRow="0" w:firstColumn="0" w:lastColumn="0" w:oddVBand="0" w:evenVBand="0" w:oddHBand="1" w:evenHBand="0" w:firstRowFirstColumn="0" w:firstRowLastColumn="0" w:lastRowFirstColumn="0" w:lastRowLastColumn="0"/>
              <w:rPr>
                <w:rFonts w:cs="Tahoma"/>
                <w:szCs w:val="16"/>
              </w:rPr>
            </w:pPr>
            <w:r w:rsidRPr="0032678E">
              <w:rPr>
                <w:rFonts w:cs="Tahoma"/>
                <w:szCs w:val="16"/>
              </w:rPr>
              <w:t xml:space="preserve">La Región Huetar Caribe presentó un cumplimiento del 110,94 %, resultado que obedece principalmente por la participación de personas privadas de libertad en proyectos agroindustriales y en actividades artesanales remuneradas. La implementación de estas actividades ocupacionales para la población privada de libertad ubicada en la región genera beneficios emocionales y sociales para las personas participantes, lo cual fortalece los procesos de inserción social una vez finalizada la medida privativa de libertad. Asimismo, amplía positivamente las alternativas para la formación de hábitos y el desarrollo de habilidades, contribuyendo al mejoramiento de la calidad de vida durante el proceso de reincorporación al entorno social. </w:t>
            </w:r>
          </w:p>
        </w:tc>
      </w:tr>
      <w:tr w:rsidR="00BE157C" w:rsidRPr="00C43FB6" w14:paraId="2C844D3D" w14:textId="77777777" w:rsidTr="00193349">
        <w:trPr>
          <w:cnfStyle w:val="000000010000" w:firstRow="0" w:lastRow="0" w:firstColumn="0" w:lastColumn="0" w:oddVBand="0" w:evenVBand="0" w:oddHBand="0" w:evenHBand="1"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622" w:type="pct"/>
            <w:shd w:val="clear" w:color="auto" w:fill="F2F2F2" w:themeFill="background1" w:themeFillShade="F2"/>
          </w:tcPr>
          <w:p w14:paraId="07230207" w14:textId="77777777" w:rsidR="00BE157C" w:rsidRPr="00C43FB6" w:rsidRDefault="00BE157C" w:rsidP="00BE157C">
            <w:pPr>
              <w:rPr>
                <w:rFonts w:eastAsia="Times New Roman" w:cs="Tahoma"/>
                <w:b/>
                <w:szCs w:val="16"/>
              </w:rPr>
            </w:pPr>
            <w:r w:rsidRPr="00C43FB6">
              <w:rPr>
                <w:rFonts w:eastAsia="Times New Roman" w:cs="Tahoma"/>
                <w:b/>
                <w:color w:val="auto"/>
                <w:szCs w:val="16"/>
              </w:rPr>
              <w:t>A.1.2.1</w:t>
            </w:r>
            <w:r w:rsidRPr="00C43FB6">
              <w:rPr>
                <w:rFonts w:eastAsia="Times New Roman" w:cs="Tahoma"/>
                <w:color w:val="auto"/>
                <w:szCs w:val="16"/>
              </w:rPr>
              <w:t xml:space="preserve"> Promedio mensual de personas privadas de libertad que participan en actividades ocupacionales remuneradas dentro del Sistema Penitenciario Nacional. </w:t>
            </w:r>
            <w:r w:rsidRPr="00C43FB6">
              <w:rPr>
                <w:rFonts w:eastAsia="Times New Roman" w:cs="Tahoma"/>
                <w:b/>
                <w:color w:val="auto"/>
                <w:szCs w:val="16"/>
              </w:rPr>
              <w:t>Región Huetar</w:t>
            </w:r>
            <w:r w:rsidRPr="00C43FB6">
              <w:rPr>
                <w:rFonts w:eastAsia="Times New Roman" w:cs="Tahoma"/>
                <w:b/>
                <w:szCs w:val="16"/>
              </w:rPr>
              <w:t xml:space="preserve"> </w:t>
            </w:r>
            <w:r w:rsidRPr="00C43FB6">
              <w:rPr>
                <w:rFonts w:eastAsia="Times New Roman" w:cs="Tahoma"/>
                <w:b/>
                <w:color w:val="auto"/>
                <w:szCs w:val="16"/>
              </w:rPr>
              <w:t xml:space="preserve">Norte </w:t>
            </w:r>
          </w:p>
        </w:tc>
        <w:tc>
          <w:tcPr>
            <w:tcW w:w="259" w:type="pct"/>
            <w:shd w:val="clear" w:color="auto" w:fill="F2F2F2" w:themeFill="background1" w:themeFillShade="F2"/>
          </w:tcPr>
          <w:p w14:paraId="282CF5AF" w14:textId="77777777" w:rsidR="00BE157C" w:rsidRPr="004C1243" w:rsidRDefault="00BE157C" w:rsidP="00BE157C">
            <w:pPr>
              <w:jc w:val="left"/>
              <w:cnfStyle w:val="000000010000" w:firstRow="0" w:lastRow="0" w:firstColumn="0" w:lastColumn="0" w:oddVBand="0" w:evenVBand="0" w:oddHBand="0" w:evenHBand="1" w:firstRowFirstColumn="0" w:firstRowLastColumn="0" w:lastRowFirstColumn="0" w:lastRowLastColumn="0"/>
              <w:rPr>
                <w:rFonts w:eastAsia="Times New Roman"/>
                <w:b/>
                <w:szCs w:val="16"/>
                <w:lang w:eastAsia="en-US"/>
              </w:rPr>
            </w:pPr>
            <w:r w:rsidRPr="004C1243">
              <w:rPr>
                <w:rFonts w:eastAsia="Times New Roman"/>
                <w:b/>
                <w:szCs w:val="16"/>
                <w:lang w:eastAsia="en-US"/>
              </w:rPr>
              <w:t>Región Huetar Norte:</w:t>
            </w:r>
          </w:p>
          <w:p w14:paraId="6B74589F" w14:textId="5FD9F23F" w:rsidR="00BE157C" w:rsidRPr="00C43FB6" w:rsidRDefault="00BE157C" w:rsidP="00BE157C">
            <w:pPr>
              <w:cnfStyle w:val="000000010000" w:firstRow="0" w:lastRow="0" w:firstColumn="0" w:lastColumn="0" w:oddVBand="0" w:evenVBand="0" w:oddHBand="0" w:evenHBand="1" w:firstRowFirstColumn="0" w:firstRowLastColumn="0" w:lastRowFirstColumn="0" w:lastRowLastColumn="0"/>
              <w:rPr>
                <w:rFonts w:eastAsia="Times New Roman" w:cs="Tahoma"/>
                <w:szCs w:val="16"/>
              </w:rPr>
            </w:pPr>
            <w:r w:rsidRPr="004C1243">
              <w:rPr>
                <w:rFonts w:eastAsia="Times New Roman"/>
                <w:szCs w:val="16"/>
                <w:lang w:eastAsia="en-US"/>
              </w:rPr>
              <w:t>120</w:t>
            </w:r>
          </w:p>
        </w:tc>
        <w:tc>
          <w:tcPr>
            <w:tcW w:w="259" w:type="pct"/>
            <w:shd w:val="clear" w:color="auto" w:fill="F2F2F2" w:themeFill="background1" w:themeFillShade="F2"/>
          </w:tcPr>
          <w:p w14:paraId="78CA37F4" w14:textId="77777777" w:rsidR="00BE157C" w:rsidRPr="004C1243" w:rsidRDefault="00BE157C" w:rsidP="00BE157C">
            <w:pPr>
              <w:jc w:val="left"/>
              <w:cnfStyle w:val="000000010000" w:firstRow="0" w:lastRow="0" w:firstColumn="0" w:lastColumn="0" w:oddVBand="0" w:evenVBand="0" w:oddHBand="0" w:evenHBand="1" w:firstRowFirstColumn="0" w:firstRowLastColumn="0" w:lastRowFirstColumn="0" w:lastRowLastColumn="0"/>
              <w:rPr>
                <w:rFonts w:eastAsia="Times New Roman"/>
                <w:szCs w:val="16"/>
              </w:rPr>
            </w:pPr>
            <w:r w:rsidRPr="004C1243">
              <w:rPr>
                <w:rFonts w:eastAsia="Times New Roman"/>
                <w:b/>
                <w:szCs w:val="16"/>
              </w:rPr>
              <w:t xml:space="preserve">Región </w:t>
            </w:r>
          </w:p>
          <w:p w14:paraId="00D19537" w14:textId="77777777" w:rsidR="00BE157C" w:rsidRPr="004C1243" w:rsidRDefault="00BE157C" w:rsidP="00BE157C">
            <w:pPr>
              <w:jc w:val="left"/>
              <w:cnfStyle w:val="000000010000" w:firstRow="0" w:lastRow="0" w:firstColumn="0" w:lastColumn="0" w:oddVBand="0" w:evenVBand="0" w:oddHBand="0" w:evenHBand="1" w:firstRowFirstColumn="0" w:firstRowLastColumn="0" w:lastRowFirstColumn="0" w:lastRowLastColumn="0"/>
              <w:rPr>
                <w:rFonts w:eastAsia="Times New Roman"/>
                <w:b/>
                <w:szCs w:val="16"/>
              </w:rPr>
            </w:pPr>
            <w:r w:rsidRPr="004C1243">
              <w:rPr>
                <w:rFonts w:eastAsia="Times New Roman"/>
                <w:b/>
                <w:szCs w:val="16"/>
              </w:rPr>
              <w:t>Huetar Norte:</w:t>
            </w:r>
          </w:p>
          <w:p w14:paraId="139A7AA6" w14:textId="0355FEFB" w:rsidR="00BE157C" w:rsidRPr="00C43FB6" w:rsidRDefault="00BE157C" w:rsidP="00BE157C">
            <w:pPr>
              <w:cnfStyle w:val="000000010000" w:firstRow="0" w:lastRow="0" w:firstColumn="0" w:lastColumn="0" w:oddVBand="0" w:evenVBand="0" w:oddHBand="0" w:evenHBand="1" w:firstRowFirstColumn="0" w:firstRowLastColumn="0" w:lastRowFirstColumn="0" w:lastRowLastColumn="0"/>
              <w:rPr>
                <w:rFonts w:eastAsia="Times New Roman" w:cs="Tahoma"/>
                <w:szCs w:val="16"/>
              </w:rPr>
            </w:pPr>
            <w:r w:rsidRPr="0000562A">
              <w:rPr>
                <w:szCs w:val="16"/>
                <w:lang w:eastAsia="en-US"/>
              </w:rPr>
              <w:t>123,58</w:t>
            </w:r>
          </w:p>
        </w:tc>
        <w:tc>
          <w:tcPr>
            <w:tcW w:w="259" w:type="pct"/>
            <w:shd w:val="clear" w:color="auto" w:fill="F2F2F2" w:themeFill="background1" w:themeFillShade="F2"/>
          </w:tcPr>
          <w:p w14:paraId="0ED0EBAA" w14:textId="77777777" w:rsidR="00BE157C" w:rsidRPr="004C1243" w:rsidRDefault="00BE157C" w:rsidP="00BE157C">
            <w:pPr>
              <w:jc w:val="left"/>
              <w:cnfStyle w:val="000000010000" w:firstRow="0" w:lastRow="0" w:firstColumn="0" w:lastColumn="0" w:oddVBand="0" w:evenVBand="0" w:oddHBand="0" w:evenHBand="1" w:firstRowFirstColumn="0" w:firstRowLastColumn="0" w:lastRowFirstColumn="0" w:lastRowLastColumn="0"/>
              <w:rPr>
                <w:rFonts w:eastAsia="Times New Roman"/>
                <w:b/>
                <w:szCs w:val="16"/>
              </w:rPr>
            </w:pPr>
            <w:r w:rsidRPr="004C1243">
              <w:rPr>
                <w:rFonts w:eastAsia="Times New Roman"/>
                <w:b/>
                <w:szCs w:val="16"/>
              </w:rPr>
              <w:t xml:space="preserve">Región Huetar Norte: </w:t>
            </w:r>
          </w:p>
          <w:p w14:paraId="04605FEA" w14:textId="7FED9953" w:rsidR="00BE157C" w:rsidRPr="00C43FB6" w:rsidRDefault="00BE157C" w:rsidP="00BE157C">
            <w:pPr>
              <w:jc w:val="left"/>
              <w:cnfStyle w:val="000000010000" w:firstRow="0" w:lastRow="0" w:firstColumn="0" w:lastColumn="0" w:oddVBand="0" w:evenVBand="0" w:oddHBand="0" w:evenHBand="1" w:firstRowFirstColumn="0" w:firstRowLastColumn="0" w:lastRowFirstColumn="0" w:lastRowLastColumn="0"/>
              <w:rPr>
                <w:rFonts w:eastAsia="Times New Roman" w:cs="Tahoma"/>
                <w:szCs w:val="16"/>
              </w:rPr>
            </w:pPr>
            <w:r w:rsidRPr="0000562A">
              <w:rPr>
                <w:szCs w:val="16"/>
                <w:lang w:eastAsia="en-US"/>
              </w:rPr>
              <w:t>102,99%</w:t>
            </w:r>
          </w:p>
        </w:tc>
        <w:tc>
          <w:tcPr>
            <w:tcW w:w="331" w:type="pct"/>
            <w:shd w:val="clear" w:color="auto" w:fill="92D050"/>
            <w:vAlign w:val="center"/>
          </w:tcPr>
          <w:p w14:paraId="004C4FBB" w14:textId="3B34BC79" w:rsidR="00BE157C" w:rsidRPr="00C43FB6" w:rsidRDefault="00BE157C" w:rsidP="00BE157C">
            <w:pPr>
              <w:ind w:left="-44"/>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6"/>
              </w:rPr>
            </w:pPr>
            <w:r w:rsidRPr="004C1243">
              <w:rPr>
                <w:rFonts w:eastAsia="Times New Roman"/>
                <w:b/>
                <w:szCs w:val="16"/>
              </w:rPr>
              <w:t>Cumplimiento alto</w:t>
            </w:r>
          </w:p>
        </w:tc>
        <w:tc>
          <w:tcPr>
            <w:tcW w:w="3270" w:type="pct"/>
            <w:shd w:val="clear" w:color="auto" w:fill="F2F2F2" w:themeFill="background1" w:themeFillShade="F2"/>
          </w:tcPr>
          <w:p w14:paraId="0D83F44B" w14:textId="77777777" w:rsidR="00E91F9D" w:rsidRPr="0032678E" w:rsidRDefault="00E91F9D" w:rsidP="00E91F9D">
            <w:pPr>
              <w:pStyle w:val="Default"/>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sidRPr="0032678E">
              <w:rPr>
                <w:rFonts w:ascii="Tahoma" w:hAnsi="Tahoma" w:cs="Tahoma"/>
                <w:b/>
                <w:bCs/>
                <w:sz w:val="16"/>
                <w:szCs w:val="16"/>
              </w:rPr>
              <w:t xml:space="preserve">Logros </w:t>
            </w:r>
          </w:p>
          <w:p w14:paraId="7DB89049" w14:textId="36AE515A" w:rsidR="00BE157C" w:rsidRPr="0032678E" w:rsidRDefault="00E91F9D" w:rsidP="00E91F9D">
            <w:pPr>
              <w:ind w:left="92"/>
              <w:cnfStyle w:val="000000010000" w:firstRow="0" w:lastRow="0" w:firstColumn="0" w:lastColumn="0" w:oddVBand="0" w:evenVBand="0" w:oddHBand="0" w:evenHBand="1" w:firstRowFirstColumn="0" w:firstRowLastColumn="0" w:lastRowFirstColumn="0" w:lastRowLastColumn="0"/>
              <w:rPr>
                <w:rFonts w:eastAsia="Times New Roman" w:cs="Tahoma"/>
                <w:szCs w:val="16"/>
              </w:rPr>
            </w:pPr>
            <w:r w:rsidRPr="0032678E">
              <w:rPr>
                <w:rFonts w:cs="Tahoma"/>
                <w:szCs w:val="16"/>
              </w:rPr>
              <w:t xml:space="preserve">La Región Huetar Norte presentó un cumplimiento del 102,99 %, resultado que responde principalmente al incremento en la participación de personas privadas de libertad en servicios generales con incentivo y proyectos agroindustriales. La implementación de estas actividades ocupacionales para la población privada de libertad ubicada en la región genera beneficios emocionales y sociales para las personas participantes, lo cual fortalece los procesos de inserción social una vez finalizada la medida privativa de libertad. Asimismo, amplía positivamente las alternativas para la formación de hábitos y el desarrollo de habilidades, contribuyendo al mejoramiento de la calidad de vida durante el proceso de reincorporación al entorno social. </w:t>
            </w:r>
          </w:p>
        </w:tc>
      </w:tr>
    </w:tbl>
    <w:p w14:paraId="446FC69C" w14:textId="08C15B1C" w:rsidR="006D3EDA" w:rsidRPr="00462C13" w:rsidRDefault="006D3EDA" w:rsidP="006D3EDA">
      <w:pPr>
        <w:spacing w:after="0" w:line="240" w:lineRule="auto"/>
        <w:ind w:left="426" w:hanging="360"/>
        <w:rPr>
          <w:rFonts w:cs="Tahoma"/>
          <w:szCs w:val="20"/>
        </w:rPr>
      </w:pPr>
      <w:r w:rsidRPr="00B705B0">
        <w:rPr>
          <w:rFonts w:cs="Tahoma"/>
          <w:szCs w:val="20"/>
        </w:rPr>
        <w:t xml:space="preserve">Fuente: </w:t>
      </w:r>
      <w:r w:rsidRPr="00B705B0">
        <w:rPr>
          <w:rFonts w:cs="Tahoma"/>
          <w:szCs w:val="16"/>
        </w:rPr>
        <w:t xml:space="preserve">Dirección General de Adaptación Social, </w:t>
      </w:r>
      <w:r w:rsidRPr="00B705B0">
        <w:rPr>
          <w:rFonts w:eastAsia="Arial Narrow" w:cs="Tahoma"/>
        </w:rPr>
        <w:t>Ministerio de Justicia y Paz, 202</w:t>
      </w:r>
      <w:r w:rsidR="00E91F9D" w:rsidRPr="00B705B0">
        <w:rPr>
          <w:rFonts w:eastAsia="Arial Narrow" w:cs="Tahoma"/>
        </w:rPr>
        <w:t>6</w:t>
      </w:r>
      <w:r w:rsidRPr="00B705B0">
        <w:rPr>
          <w:rFonts w:eastAsia="Arial Narrow" w:cs="Tahoma"/>
        </w:rPr>
        <w:t>.</w:t>
      </w:r>
    </w:p>
    <w:p w14:paraId="0F232CDC" w14:textId="77777777" w:rsidR="006D3EDA" w:rsidRDefault="006D3EDA" w:rsidP="006D3EDA">
      <w:pPr>
        <w:rPr>
          <w:rFonts w:ascii="Arial" w:eastAsia="Arial Unicode MS" w:hAnsi="Arial" w:cs="Arial"/>
          <w:b/>
          <w:bCs/>
          <w:iCs/>
          <w:szCs w:val="16"/>
        </w:rPr>
      </w:pPr>
    </w:p>
    <w:p w14:paraId="537CB3C3" w14:textId="77777777" w:rsidR="006D3EDA" w:rsidRDefault="006D3EDA" w:rsidP="006D3EDA">
      <w:pPr>
        <w:rPr>
          <w:rFonts w:eastAsiaTheme="majorEastAsia" w:cs="Tahoma"/>
          <w:b/>
          <w:sz w:val="24"/>
          <w:szCs w:val="26"/>
        </w:rPr>
      </w:pPr>
      <w:r>
        <w:rPr>
          <w:rFonts w:cs="Tahoma"/>
        </w:rPr>
        <w:br w:type="page"/>
      </w:r>
    </w:p>
    <w:p w14:paraId="72091063" w14:textId="77777777" w:rsidR="006D3EDA" w:rsidRPr="00462C13" w:rsidRDefault="006D3EDA" w:rsidP="006D3EDA">
      <w:pPr>
        <w:pStyle w:val="Ttulo2"/>
        <w:rPr>
          <w:rFonts w:cs="Tahoma"/>
        </w:rPr>
      </w:pPr>
      <w:bookmarkStart w:id="34" w:name="_Toc189055695"/>
      <w:bookmarkStart w:id="35" w:name="_Toc220401621"/>
      <w:r w:rsidRPr="00124AAD">
        <w:rPr>
          <w:rFonts w:cs="Tahoma"/>
        </w:rPr>
        <w:lastRenderedPageBreak/>
        <w:t>Intervención Pública 2: Programa de fortalecimiento de Seguridad Ciudadana y Prevención de la Violencia.</w:t>
      </w:r>
      <w:bookmarkEnd w:id="34"/>
      <w:bookmarkEnd w:id="35"/>
    </w:p>
    <w:p w14:paraId="60C689EB" w14:textId="77777777" w:rsidR="006D3EDA" w:rsidRPr="00462C13" w:rsidRDefault="006D3EDA" w:rsidP="006D3EDA">
      <w:pPr>
        <w:spacing w:after="0" w:line="240" w:lineRule="auto"/>
        <w:ind w:left="426" w:hanging="360"/>
        <w:rPr>
          <w:rFonts w:cs="Tahoma"/>
          <w:b/>
          <w:sz w:val="24"/>
          <w:szCs w:val="20"/>
        </w:rPr>
      </w:pPr>
    </w:p>
    <w:p w14:paraId="3BA5E233" w14:textId="77777777" w:rsidR="006D3EDA" w:rsidRDefault="006D3EDA" w:rsidP="006D3EDA">
      <w:pPr>
        <w:spacing w:after="0" w:line="240" w:lineRule="auto"/>
        <w:ind w:left="426" w:hanging="360"/>
        <w:rPr>
          <w:rFonts w:cs="Tahoma"/>
          <w:szCs w:val="20"/>
        </w:rPr>
      </w:pPr>
    </w:p>
    <w:tbl>
      <w:tblPr>
        <w:tblStyle w:val="Tablaclsica3"/>
        <w:tblW w:w="4967" w:type="pct"/>
        <w:jc w:val="center"/>
        <w:tblLook w:val="04A0" w:firstRow="1" w:lastRow="0" w:firstColumn="1" w:lastColumn="0" w:noHBand="0" w:noVBand="1"/>
      </w:tblPr>
      <w:tblGrid>
        <w:gridCol w:w="1493"/>
        <w:gridCol w:w="1328"/>
        <w:gridCol w:w="1155"/>
        <w:gridCol w:w="773"/>
        <w:gridCol w:w="924"/>
        <w:gridCol w:w="773"/>
        <w:gridCol w:w="1460"/>
        <w:gridCol w:w="1580"/>
        <w:gridCol w:w="1275"/>
        <w:gridCol w:w="1134"/>
        <w:gridCol w:w="1421"/>
        <w:gridCol w:w="8155"/>
      </w:tblGrid>
      <w:tr w:rsidR="006D3EDA" w:rsidRPr="00462C13" w14:paraId="6DD0BE06" w14:textId="77777777" w:rsidTr="008A31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48" w:type="pct"/>
            <w:vMerge w:val="restart"/>
            <w:tcBorders>
              <w:top w:val="single" w:sz="12" w:space="0" w:color="FFFFFF"/>
              <w:left w:val="single" w:sz="12" w:space="0" w:color="FFFFFF"/>
              <w:bottom w:val="single" w:sz="12" w:space="0" w:color="FFFFFF"/>
              <w:right w:val="single" w:sz="12" w:space="0" w:color="FFFFFF"/>
            </w:tcBorders>
            <w:shd w:val="clear" w:color="auto" w:fill="003A70"/>
          </w:tcPr>
          <w:p w14:paraId="65E39298" w14:textId="77777777" w:rsidR="006D3EDA" w:rsidRPr="00462C13" w:rsidRDefault="006D3EDA" w:rsidP="005B79CC">
            <w:pPr>
              <w:rPr>
                <w:rFonts w:eastAsia="Arial Unicode MS" w:cs="Tahoma"/>
                <w:szCs w:val="16"/>
                <w:bdr w:val="none" w:sz="0" w:space="0" w:color="auto" w:frame="1"/>
              </w:rPr>
            </w:pPr>
            <w:r w:rsidRPr="00462C13">
              <w:rPr>
                <w:rFonts w:eastAsia="Arial Unicode MS" w:cs="Tahoma"/>
                <w:szCs w:val="16"/>
                <w:bdr w:val="none" w:sz="0" w:space="0" w:color="auto" w:frame="1"/>
              </w:rPr>
              <w:t xml:space="preserve">Objetivo </w:t>
            </w:r>
          </w:p>
        </w:tc>
        <w:tc>
          <w:tcPr>
            <w:tcW w:w="578" w:type="pct"/>
            <w:gridSpan w:val="2"/>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667BC9C7"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xml:space="preserve">Programación </w:t>
            </w:r>
          </w:p>
          <w:p w14:paraId="35F8BB19"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PNDIP 2023-2026</w:t>
            </w:r>
          </w:p>
        </w:tc>
        <w:tc>
          <w:tcPr>
            <w:tcW w:w="4074" w:type="pct"/>
            <w:gridSpan w:val="9"/>
            <w:tcBorders>
              <w:top w:val="single" w:sz="12" w:space="0" w:color="FFFFFF"/>
              <w:left w:val="single" w:sz="12" w:space="0" w:color="FFFFFF"/>
              <w:bottom w:val="single" w:sz="12" w:space="0" w:color="FFFFFF"/>
              <w:right w:val="single" w:sz="12" w:space="0" w:color="FFFFFF"/>
            </w:tcBorders>
            <w:shd w:val="clear" w:color="auto" w:fill="003A70"/>
          </w:tcPr>
          <w:p w14:paraId="222E85D3" w14:textId="03AFDA02"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224BD7">
              <w:rPr>
                <w:rFonts w:eastAsia="Arial Unicode MS" w:cs="Tahoma"/>
                <w:szCs w:val="16"/>
                <w:bdr w:val="none" w:sz="0" w:space="0" w:color="auto" w:frame="1"/>
              </w:rPr>
              <w:t xml:space="preserve">Seguimiento </w:t>
            </w:r>
            <w:r>
              <w:rPr>
                <w:rFonts w:eastAsia="Arial Unicode MS" w:cs="Tahoma"/>
                <w:szCs w:val="16"/>
                <w:bdr w:val="none" w:sz="0" w:space="0" w:color="auto" w:frame="1"/>
              </w:rPr>
              <w:t xml:space="preserve">Anual </w:t>
            </w:r>
            <w:r w:rsidRPr="00224BD7">
              <w:rPr>
                <w:rFonts w:eastAsia="Arial Unicode MS" w:cs="Tahoma"/>
                <w:szCs w:val="16"/>
                <w:bdr w:val="none" w:sz="0" w:space="0" w:color="auto" w:frame="1"/>
              </w:rPr>
              <w:t>202</w:t>
            </w:r>
            <w:r w:rsidR="004B4F07">
              <w:rPr>
                <w:rFonts w:eastAsia="Arial Unicode MS" w:cs="Tahoma"/>
                <w:szCs w:val="16"/>
                <w:bdr w:val="none" w:sz="0" w:space="0" w:color="auto" w:frame="1"/>
              </w:rPr>
              <w:t>5</w:t>
            </w:r>
          </w:p>
        </w:tc>
      </w:tr>
      <w:tr w:rsidR="008A31D0" w:rsidRPr="00462C13" w14:paraId="4B0211DE" w14:textId="77777777" w:rsidTr="006172B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48" w:type="pct"/>
            <w:vMerge/>
            <w:tcBorders>
              <w:top w:val="single" w:sz="12" w:space="0" w:color="FFFFFF"/>
              <w:left w:val="single" w:sz="12" w:space="0" w:color="FFFFFF"/>
              <w:bottom w:val="single" w:sz="12" w:space="0" w:color="FFFFFF"/>
              <w:right w:val="single" w:sz="12" w:space="0" w:color="FFFFFF"/>
            </w:tcBorders>
            <w:shd w:val="clear" w:color="auto" w:fill="003A70"/>
            <w:hideMark/>
          </w:tcPr>
          <w:p w14:paraId="7C16EC3B" w14:textId="77777777" w:rsidR="006D3EDA" w:rsidRPr="00462C13" w:rsidRDefault="006D3EDA" w:rsidP="005B79CC">
            <w:pPr>
              <w:rPr>
                <w:rFonts w:eastAsia="Arial Unicode MS" w:cs="Tahoma"/>
                <w:szCs w:val="16"/>
                <w:bdr w:val="none" w:sz="0" w:space="0" w:color="auto" w:frame="1"/>
              </w:rPr>
            </w:pPr>
          </w:p>
        </w:tc>
        <w:tc>
          <w:tcPr>
            <w:tcW w:w="578" w:type="pct"/>
            <w:gridSpan w:val="2"/>
            <w:vMerge/>
            <w:tcBorders>
              <w:top w:val="single" w:sz="12" w:space="0" w:color="FFFFFF"/>
              <w:left w:val="single" w:sz="12" w:space="0" w:color="FFFFFF"/>
              <w:bottom w:val="single" w:sz="12" w:space="0" w:color="FFFFFF"/>
              <w:right w:val="single" w:sz="12" w:space="0" w:color="FFFFFF"/>
            </w:tcBorders>
            <w:shd w:val="clear" w:color="auto" w:fill="003A70"/>
            <w:hideMark/>
          </w:tcPr>
          <w:p w14:paraId="16717D9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80" w:type="pct"/>
            <w:vMerge w:val="restart"/>
            <w:tcBorders>
              <w:top w:val="single" w:sz="12" w:space="0" w:color="FFFFFF"/>
              <w:left w:val="single" w:sz="12" w:space="0" w:color="FFFFFF"/>
              <w:right w:val="single" w:sz="12" w:space="0" w:color="FFFFFF"/>
            </w:tcBorders>
            <w:shd w:val="clear" w:color="auto" w:fill="003A70"/>
            <w:hideMark/>
          </w:tcPr>
          <w:p w14:paraId="1AEC8BF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Meta Anual</w:t>
            </w:r>
          </w:p>
        </w:tc>
        <w:tc>
          <w:tcPr>
            <w:tcW w:w="215"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7FC312DE"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Absoluto</w:t>
            </w:r>
          </w:p>
        </w:tc>
        <w:tc>
          <w:tcPr>
            <w:tcW w:w="180" w:type="pct"/>
            <w:vMerge w:val="restart"/>
            <w:tcBorders>
              <w:top w:val="single" w:sz="12" w:space="0" w:color="FFFFFF"/>
              <w:left w:val="single" w:sz="12" w:space="0" w:color="FFFFFF"/>
              <w:right w:val="single" w:sz="12" w:space="0" w:color="FFFFFF"/>
            </w:tcBorders>
            <w:shd w:val="clear" w:color="auto" w:fill="003A70"/>
            <w:hideMark/>
          </w:tcPr>
          <w:p w14:paraId="79B7C40F"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de avance</w:t>
            </w:r>
          </w:p>
        </w:tc>
        <w:tc>
          <w:tcPr>
            <w:tcW w:w="1004" w:type="pct"/>
            <w:gridSpan w:val="3"/>
            <w:tcBorders>
              <w:top w:val="single" w:sz="12" w:space="0" w:color="FFFFFF"/>
              <w:left w:val="single" w:sz="12" w:space="0" w:color="FFFFFF"/>
              <w:bottom w:val="single" w:sz="4" w:space="0" w:color="auto"/>
              <w:right w:val="single" w:sz="12" w:space="0" w:color="FFFFFF"/>
            </w:tcBorders>
            <w:shd w:val="clear" w:color="auto" w:fill="003A70"/>
          </w:tcPr>
          <w:p w14:paraId="19E96591" w14:textId="3A9B5488"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Presupuesto 202</w:t>
            </w:r>
            <w:r w:rsidR="004B4F07">
              <w:rPr>
                <w:rFonts w:eastAsia="Arial Unicode MS" w:cs="Tahoma"/>
                <w:szCs w:val="16"/>
                <w:bdr w:val="none" w:sz="0" w:space="0" w:color="auto" w:frame="1"/>
              </w:rPr>
              <w:t>5</w:t>
            </w:r>
          </w:p>
        </w:tc>
        <w:tc>
          <w:tcPr>
            <w:tcW w:w="264" w:type="pct"/>
            <w:vMerge w:val="restart"/>
            <w:tcBorders>
              <w:top w:val="single" w:sz="12" w:space="0" w:color="FFFFFF"/>
              <w:left w:val="single" w:sz="12" w:space="0" w:color="FFFFFF"/>
              <w:right w:val="single" w:sz="12" w:space="0" w:color="FFFFFF"/>
            </w:tcBorders>
            <w:shd w:val="clear" w:color="auto" w:fill="003A70"/>
          </w:tcPr>
          <w:p w14:paraId="29EA37BB"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Responsable</w:t>
            </w:r>
          </w:p>
        </w:tc>
        <w:tc>
          <w:tcPr>
            <w:tcW w:w="331"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1968C26C"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BF3111">
              <w:rPr>
                <w:rFonts w:eastAsia="Arial Unicode MS" w:cs="Tahoma"/>
                <w:szCs w:val="16"/>
                <w:bdr w:val="none" w:sz="0" w:space="0" w:color="auto" w:frame="1"/>
              </w:rPr>
              <w:t>Clasificación de cumplimiento</w:t>
            </w:r>
          </w:p>
        </w:tc>
        <w:tc>
          <w:tcPr>
            <w:tcW w:w="1900"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62F779A1"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vertAlign w:val="superscript"/>
              </w:rPr>
            </w:pPr>
            <w:r w:rsidRPr="007B087D">
              <w:rPr>
                <w:rFonts w:eastAsia="Arial Unicode MS" w:cs="Tahoma"/>
                <w:sz w:val="24"/>
                <w:szCs w:val="16"/>
                <w:bdr w:val="none" w:sz="0" w:space="0" w:color="auto" w:frame="1"/>
              </w:rPr>
              <w:t xml:space="preserve">Logros </w:t>
            </w:r>
          </w:p>
        </w:tc>
      </w:tr>
      <w:tr w:rsidR="006172B7" w:rsidRPr="00462C13" w14:paraId="2C920267" w14:textId="77777777" w:rsidTr="006172B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48" w:type="pct"/>
            <w:vMerge/>
            <w:tcBorders>
              <w:top w:val="single" w:sz="12" w:space="0" w:color="FFFFFF"/>
              <w:left w:val="single" w:sz="12" w:space="0" w:color="FFFFFF"/>
              <w:bottom w:val="single" w:sz="12" w:space="0" w:color="FFFFFF"/>
              <w:right w:val="single" w:sz="12" w:space="0" w:color="FFFFFF"/>
            </w:tcBorders>
            <w:hideMark/>
          </w:tcPr>
          <w:p w14:paraId="29745F92" w14:textId="77777777" w:rsidR="006D3EDA" w:rsidRPr="00462C13" w:rsidRDefault="006D3EDA" w:rsidP="005B79CC">
            <w:pPr>
              <w:rPr>
                <w:rFonts w:eastAsia="Arial Unicode MS" w:cs="Tahoma"/>
                <w:szCs w:val="16"/>
                <w:bdr w:val="none" w:sz="0" w:space="0" w:color="auto" w:frame="1"/>
              </w:rPr>
            </w:pPr>
          </w:p>
        </w:tc>
        <w:tc>
          <w:tcPr>
            <w:tcW w:w="309" w:type="pct"/>
            <w:tcBorders>
              <w:top w:val="single" w:sz="12" w:space="0" w:color="FFFFFF"/>
              <w:left w:val="single" w:sz="12" w:space="0" w:color="FFFFFF"/>
              <w:bottom w:val="single" w:sz="12" w:space="0" w:color="FFFFFF"/>
              <w:right w:val="single" w:sz="12" w:space="0" w:color="FFFFFF"/>
            </w:tcBorders>
            <w:shd w:val="clear" w:color="auto" w:fill="003A70"/>
            <w:hideMark/>
          </w:tcPr>
          <w:p w14:paraId="7083296C"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Indicadores</w:t>
            </w:r>
          </w:p>
        </w:tc>
        <w:tc>
          <w:tcPr>
            <w:tcW w:w="269" w:type="pct"/>
            <w:tcBorders>
              <w:top w:val="single" w:sz="12" w:space="0" w:color="FFFFFF"/>
              <w:left w:val="single" w:sz="12" w:space="0" w:color="FFFFFF"/>
              <w:bottom w:val="single" w:sz="12" w:space="0" w:color="FFFFFF"/>
              <w:right w:val="single" w:sz="12" w:space="0" w:color="FFFFFF"/>
            </w:tcBorders>
            <w:shd w:val="clear" w:color="auto" w:fill="003A70"/>
            <w:hideMark/>
          </w:tcPr>
          <w:p w14:paraId="72D8F5B7"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 xml:space="preserve">Metas Periodo </w:t>
            </w:r>
          </w:p>
        </w:tc>
        <w:tc>
          <w:tcPr>
            <w:tcW w:w="180" w:type="pct"/>
            <w:vMerge/>
            <w:tcBorders>
              <w:left w:val="single" w:sz="12" w:space="0" w:color="FFFFFF"/>
              <w:bottom w:val="single" w:sz="12" w:space="0" w:color="FFFFFF"/>
              <w:right w:val="single" w:sz="12" w:space="0" w:color="FFFFFF"/>
            </w:tcBorders>
            <w:hideMark/>
          </w:tcPr>
          <w:p w14:paraId="08575376"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15" w:type="pct"/>
            <w:vMerge/>
            <w:tcBorders>
              <w:top w:val="single" w:sz="12" w:space="0" w:color="FFFFFF"/>
              <w:left w:val="single" w:sz="12" w:space="0" w:color="FFFFFF"/>
              <w:bottom w:val="single" w:sz="12" w:space="0" w:color="FFFFFF"/>
              <w:right w:val="single" w:sz="12" w:space="0" w:color="FFFFFF"/>
            </w:tcBorders>
            <w:shd w:val="clear" w:color="auto" w:fill="003366"/>
            <w:hideMark/>
          </w:tcPr>
          <w:p w14:paraId="19299196"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80" w:type="pct"/>
            <w:vMerge/>
            <w:tcBorders>
              <w:left w:val="single" w:sz="12" w:space="0" w:color="FFFFFF"/>
              <w:bottom w:val="single" w:sz="12" w:space="0" w:color="FFFFFF"/>
              <w:right w:val="single" w:sz="12" w:space="0" w:color="FFFFFF"/>
            </w:tcBorders>
            <w:hideMark/>
          </w:tcPr>
          <w:p w14:paraId="6AC2F86A"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40" w:type="pct"/>
            <w:tcBorders>
              <w:left w:val="single" w:sz="12" w:space="0" w:color="FFFFFF"/>
              <w:bottom w:val="single" w:sz="12" w:space="0" w:color="FFFFFF"/>
              <w:right w:val="single" w:sz="12" w:space="0" w:color="FFFFFF"/>
            </w:tcBorders>
            <w:shd w:val="clear" w:color="auto" w:fill="003A70"/>
          </w:tcPr>
          <w:p w14:paraId="54C0DAF1"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rPr>
            </w:pPr>
            <w:r w:rsidRPr="00650798">
              <w:rPr>
                <w:rFonts w:ascii="Arial" w:eastAsia="Arial Unicode MS" w:hAnsi="Arial" w:cs="Arial"/>
                <w:color w:val="auto"/>
                <w:szCs w:val="12"/>
                <w:bdr w:val="none" w:sz="0" w:space="0" w:color="auto" w:frame="1"/>
                <w:lang w:eastAsia="en-US"/>
              </w:rPr>
              <w:t>Presupuesto programado</w:t>
            </w:r>
          </w:p>
        </w:tc>
        <w:tc>
          <w:tcPr>
            <w:tcW w:w="368" w:type="pct"/>
            <w:tcBorders>
              <w:left w:val="single" w:sz="12" w:space="0" w:color="FFFFFF"/>
              <w:bottom w:val="single" w:sz="12" w:space="0" w:color="FFFFFF"/>
              <w:right w:val="single" w:sz="12" w:space="0" w:color="FFFFFF"/>
            </w:tcBorders>
            <w:shd w:val="clear" w:color="auto" w:fill="003A70"/>
          </w:tcPr>
          <w:p w14:paraId="059C20A1"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Monto ejecutado</w:t>
            </w:r>
          </w:p>
        </w:tc>
        <w:tc>
          <w:tcPr>
            <w:tcW w:w="297" w:type="pct"/>
            <w:tcBorders>
              <w:left w:val="single" w:sz="12" w:space="0" w:color="FFFFFF"/>
              <w:bottom w:val="single" w:sz="12" w:space="0" w:color="FFFFFF"/>
              <w:right w:val="single" w:sz="12" w:space="0" w:color="FFFFFF"/>
            </w:tcBorders>
            <w:shd w:val="clear" w:color="auto" w:fill="003A70"/>
          </w:tcPr>
          <w:p w14:paraId="519C6221"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Información cualitativa</w:t>
            </w:r>
          </w:p>
        </w:tc>
        <w:tc>
          <w:tcPr>
            <w:tcW w:w="264" w:type="pct"/>
            <w:vMerge/>
            <w:tcBorders>
              <w:left w:val="single" w:sz="12" w:space="0" w:color="FFFFFF"/>
              <w:bottom w:val="single" w:sz="12" w:space="0" w:color="FFFFFF"/>
              <w:right w:val="single" w:sz="12" w:space="0" w:color="FFFFFF"/>
            </w:tcBorders>
          </w:tcPr>
          <w:p w14:paraId="776D7B2E"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31" w:type="pct"/>
            <w:vMerge/>
            <w:tcBorders>
              <w:top w:val="single" w:sz="12" w:space="0" w:color="FFFFFF"/>
              <w:left w:val="single" w:sz="12" w:space="0" w:color="FFFFFF"/>
              <w:bottom w:val="single" w:sz="12" w:space="0" w:color="FFFFFF"/>
              <w:right w:val="single" w:sz="12" w:space="0" w:color="FFFFFF"/>
            </w:tcBorders>
            <w:hideMark/>
          </w:tcPr>
          <w:p w14:paraId="3E1B82D4"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900" w:type="pct"/>
            <w:vMerge/>
            <w:tcBorders>
              <w:top w:val="single" w:sz="12" w:space="0" w:color="FFFFFF"/>
              <w:left w:val="single" w:sz="12" w:space="0" w:color="FFFFFF"/>
              <w:bottom w:val="single" w:sz="12" w:space="0" w:color="FFFFFF"/>
              <w:right w:val="single" w:sz="12" w:space="0" w:color="FFFFFF"/>
            </w:tcBorders>
            <w:hideMark/>
          </w:tcPr>
          <w:p w14:paraId="4076E73E"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vertAlign w:val="superscript"/>
              </w:rPr>
            </w:pPr>
          </w:p>
        </w:tc>
      </w:tr>
      <w:tr w:rsidR="006172B7" w:rsidRPr="00462C13" w14:paraId="3D583F0F" w14:textId="77777777" w:rsidTr="006172B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872EAD4" w14:textId="77777777" w:rsidR="006D3EDA" w:rsidRPr="00462C13" w:rsidRDefault="006D3EDA" w:rsidP="005B79CC">
            <w:pPr>
              <w:jc w:val="both"/>
              <w:rPr>
                <w:rFonts w:cs="Tahoma"/>
                <w:szCs w:val="16"/>
              </w:rPr>
            </w:pPr>
            <w:r w:rsidRPr="00462C13">
              <w:rPr>
                <w:rFonts w:cs="Tahoma"/>
                <w:b/>
                <w:bCs w:val="0"/>
                <w:szCs w:val="22"/>
              </w:rPr>
              <w:t xml:space="preserve">2.1. </w:t>
            </w:r>
            <w:r w:rsidRPr="00462C13">
              <w:rPr>
                <w:rFonts w:cs="Tahoma"/>
                <w:bCs w:val="0"/>
                <w:szCs w:val="22"/>
              </w:rPr>
              <w:t>Implementar el Programa de fortalecimiento de la seguridad ciudadana y prevención de violencia con el fin de reducir los comportamientos delictivos de adolescentes y jóvenes vulnerables a la violencia, en distritos con desventajas concentradas.</w:t>
            </w:r>
          </w:p>
        </w:tc>
        <w:tc>
          <w:tcPr>
            <w:tcW w:w="30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C1CFD57" w14:textId="141C94D2" w:rsidR="006D3EDA"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bCs/>
                <w:szCs w:val="22"/>
              </w:rPr>
              <w:t>A.2.1.1</w:t>
            </w:r>
            <w:r w:rsidRPr="00462C13">
              <w:rPr>
                <w:rFonts w:cs="Tahoma"/>
                <w:szCs w:val="22"/>
              </w:rPr>
              <w:t xml:space="preserve"> </w:t>
            </w:r>
            <w:r w:rsidR="00AE02C5" w:rsidRPr="00AE02C5">
              <w:rPr>
                <w:rFonts w:cs="Tahoma"/>
                <w:szCs w:val="22"/>
              </w:rPr>
              <w:t>Porcentaje acumulado de avance en la implementación del Componente 1 “Efectividad Policial” del Programa de fortalecimiento de Seguridad Ciudadana y Prevención de Violencia.</w:t>
            </w:r>
          </w:p>
          <w:p w14:paraId="1F2FB9DD" w14:textId="77777777" w:rsidR="006D3EDA"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p>
          <w:p w14:paraId="04FA232A" w14:textId="71E87FC1" w:rsidR="006D3EDA" w:rsidRPr="00462C13"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p>
        </w:tc>
        <w:tc>
          <w:tcPr>
            <w:tcW w:w="26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39B0147" w14:textId="77777777" w:rsidR="00EF0B0F" w:rsidRPr="001105C4" w:rsidRDefault="006D3EDA" w:rsidP="00EF0B0F">
            <w:pPr>
              <w:cnfStyle w:val="000000100000" w:firstRow="0" w:lastRow="0" w:firstColumn="0" w:lastColumn="0" w:oddVBand="0" w:evenVBand="0" w:oddHBand="1" w:evenHBand="0" w:firstRowFirstColumn="0" w:firstRowLastColumn="0" w:lastRowFirstColumn="0" w:lastRowLastColumn="0"/>
              <w:rPr>
                <w:szCs w:val="16"/>
              </w:rPr>
            </w:pPr>
            <w:r w:rsidRPr="00462C13">
              <w:rPr>
                <w:rFonts w:cs="Tahoma"/>
                <w:b/>
                <w:bCs/>
                <w:szCs w:val="22"/>
              </w:rPr>
              <w:t xml:space="preserve">2023-2026: </w:t>
            </w:r>
            <w:r w:rsidRPr="00462C13">
              <w:rPr>
                <w:rFonts w:cs="Tahoma"/>
                <w:szCs w:val="22"/>
              </w:rPr>
              <w:t xml:space="preserve">100% </w:t>
            </w:r>
            <w:r w:rsidRPr="00462C13">
              <w:rPr>
                <w:rFonts w:cs="Tahoma"/>
                <w:szCs w:val="22"/>
              </w:rPr>
              <w:br/>
            </w:r>
            <w:r w:rsidRPr="00462C13">
              <w:rPr>
                <w:rFonts w:cs="Tahoma"/>
                <w:szCs w:val="22"/>
              </w:rPr>
              <w:br/>
            </w:r>
            <w:r w:rsidR="00EF0B0F" w:rsidRPr="001105C4">
              <w:rPr>
                <w:rFonts w:cs="Tahoma"/>
                <w:bCs/>
                <w:szCs w:val="16"/>
              </w:rPr>
              <w:t xml:space="preserve">2023: </w:t>
            </w:r>
            <w:r w:rsidR="00EF0B0F" w:rsidRPr="001105C4">
              <w:rPr>
                <w:rFonts w:cs="Tahoma"/>
                <w:szCs w:val="16"/>
              </w:rPr>
              <w:t>10,31%</w:t>
            </w:r>
          </w:p>
          <w:p w14:paraId="4C8CFE26" w14:textId="77777777" w:rsidR="00EF0B0F" w:rsidRPr="001105C4" w:rsidRDefault="00EF0B0F" w:rsidP="00EF0B0F">
            <w:pPr>
              <w:cnfStyle w:val="000000100000" w:firstRow="0" w:lastRow="0" w:firstColumn="0" w:lastColumn="0" w:oddVBand="0" w:evenVBand="0" w:oddHBand="1" w:evenHBand="0" w:firstRowFirstColumn="0" w:firstRowLastColumn="0" w:lastRowFirstColumn="0" w:lastRowLastColumn="0"/>
              <w:rPr>
                <w:szCs w:val="16"/>
              </w:rPr>
            </w:pPr>
            <w:r w:rsidRPr="001105C4">
              <w:rPr>
                <w:rFonts w:cs="Tahoma"/>
                <w:bCs/>
                <w:szCs w:val="16"/>
              </w:rPr>
              <w:t>2024:</w:t>
            </w:r>
            <w:r w:rsidRPr="001105C4">
              <w:rPr>
                <w:rFonts w:cs="Tahoma"/>
                <w:szCs w:val="16"/>
              </w:rPr>
              <w:t xml:space="preserve"> 26,23%</w:t>
            </w:r>
          </w:p>
          <w:p w14:paraId="57FECD39" w14:textId="77777777" w:rsidR="00EF0B0F" w:rsidRPr="001105C4" w:rsidRDefault="00EF0B0F" w:rsidP="00EF0B0F">
            <w:pPr>
              <w:cnfStyle w:val="000000100000" w:firstRow="0" w:lastRow="0" w:firstColumn="0" w:lastColumn="0" w:oddVBand="0" w:evenVBand="0" w:oddHBand="1" w:evenHBand="0" w:firstRowFirstColumn="0" w:firstRowLastColumn="0" w:lastRowFirstColumn="0" w:lastRowLastColumn="0"/>
              <w:rPr>
                <w:szCs w:val="16"/>
              </w:rPr>
            </w:pPr>
            <w:r w:rsidRPr="001105C4">
              <w:rPr>
                <w:rFonts w:cs="Tahoma"/>
                <w:bCs/>
                <w:szCs w:val="16"/>
              </w:rPr>
              <w:t>2025:</w:t>
            </w:r>
            <w:r w:rsidRPr="001105C4">
              <w:rPr>
                <w:rFonts w:cs="Tahoma"/>
                <w:szCs w:val="16"/>
              </w:rPr>
              <w:t xml:space="preserve"> 36,88%</w:t>
            </w:r>
          </w:p>
          <w:p w14:paraId="6513E03E" w14:textId="77777777" w:rsidR="00EF0B0F" w:rsidRPr="001105C4" w:rsidRDefault="00EF0B0F" w:rsidP="00EF0B0F">
            <w:pPr>
              <w:cnfStyle w:val="000000100000" w:firstRow="0" w:lastRow="0" w:firstColumn="0" w:lastColumn="0" w:oddVBand="0" w:evenVBand="0" w:oddHBand="1" w:evenHBand="0" w:firstRowFirstColumn="0" w:firstRowLastColumn="0" w:lastRowFirstColumn="0" w:lastRowLastColumn="0"/>
              <w:rPr>
                <w:szCs w:val="16"/>
              </w:rPr>
            </w:pPr>
            <w:r w:rsidRPr="001105C4">
              <w:rPr>
                <w:rFonts w:cs="Tahoma"/>
                <w:bCs/>
                <w:szCs w:val="16"/>
              </w:rPr>
              <w:t>2026:</w:t>
            </w:r>
            <w:r w:rsidRPr="001105C4">
              <w:rPr>
                <w:rFonts w:cs="Tahoma"/>
                <w:szCs w:val="16"/>
              </w:rPr>
              <w:t xml:space="preserve"> 100%</w:t>
            </w:r>
          </w:p>
          <w:p w14:paraId="525DE6B4" w14:textId="468E90E0" w:rsidR="006D3EDA" w:rsidRPr="00462C13" w:rsidRDefault="006D3EDA"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p>
        </w:tc>
        <w:tc>
          <w:tcPr>
            <w:tcW w:w="18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7685709" w14:textId="23004E1B" w:rsidR="006D3EDA" w:rsidRPr="00CE7843" w:rsidRDefault="00FF25CF" w:rsidP="005B79CC">
            <w:pPr>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8"/>
                <w:bdr w:val="none" w:sz="0" w:space="0" w:color="auto" w:frame="1"/>
              </w:rPr>
            </w:pPr>
            <w:r w:rsidRPr="001105C4">
              <w:rPr>
                <w:rFonts w:cs="Tahoma"/>
                <w:szCs w:val="16"/>
              </w:rPr>
              <w:t>36,88%</w:t>
            </w:r>
          </w:p>
        </w:tc>
        <w:tc>
          <w:tcPr>
            <w:tcW w:w="215"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8DFF7B1" w14:textId="4193DF83" w:rsidR="006D3EDA" w:rsidRPr="009F3FE6" w:rsidRDefault="00702985"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9F3FE6">
              <w:rPr>
                <w:rFonts w:cs="Tahoma"/>
              </w:rPr>
              <w:t>33,69</w:t>
            </w:r>
            <w:r w:rsidR="006D3EDA" w:rsidRPr="009F3FE6">
              <w:rPr>
                <w:rFonts w:cs="Tahoma"/>
              </w:rPr>
              <w:t>%</w:t>
            </w:r>
          </w:p>
        </w:tc>
        <w:tc>
          <w:tcPr>
            <w:tcW w:w="18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32E3238" w14:textId="658E454A" w:rsidR="006D3EDA" w:rsidRPr="009F3FE6" w:rsidRDefault="009F3FE6"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9F3FE6">
              <w:rPr>
                <w:rFonts w:cs="Tahoma"/>
              </w:rPr>
              <w:t>91,35</w:t>
            </w:r>
            <w:r w:rsidR="006D3EDA" w:rsidRPr="009F3FE6">
              <w:rPr>
                <w:rFonts w:cs="Tahoma"/>
              </w:rPr>
              <w:t>%</w:t>
            </w:r>
          </w:p>
        </w:tc>
        <w:tc>
          <w:tcPr>
            <w:tcW w:w="34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E495DFE" w14:textId="702ED601" w:rsidR="006D3EDA" w:rsidRPr="00FF25CF" w:rsidRDefault="00D8432A"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D8432A">
              <w:rPr>
                <w:rFonts w:cs="Tahoma"/>
                <w:szCs w:val="16"/>
              </w:rPr>
              <w:t>9.080.924.976,95</w:t>
            </w:r>
          </w:p>
        </w:tc>
        <w:tc>
          <w:tcPr>
            <w:tcW w:w="36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FA7B656" w14:textId="223FA2FA" w:rsidR="006D3EDA" w:rsidRPr="00FF25CF" w:rsidRDefault="00473A01"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473A01">
              <w:rPr>
                <w:rFonts w:cs="Tahoma"/>
                <w:szCs w:val="16"/>
              </w:rPr>
              <w:t>10.072.160.518,85</w:t>
            </w:r>
          </w:p>
        </w:tc>
        <w:tc>
          <w:tcPr>
            <w:tcW w:w="29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00ACBA6" w14:textId="1989128D" w:rsidR="006D3EDA" w:rsidRPr="00FF25CF"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993A15">
              <w:rPr>
                <w:rFonts w:cs="Tahoma"/>
                <w:b/>
                <w:szCs w:val="16"/>
              </w:rPr>
              <w:t>S</w:t>
            </w:r>
            <w:r w:rsidR="00542042" w:rsidRPr="00993A15">
              <w:rPr>
                <w:rFonts w:cs="Tahoma"/>
                <w:b/>
                <w:szCs w:val="16"/>
              </w:rPr>
              <w:t>obre</w:t>
            </w:r>
            <w:r w:rsidRPr="00993A15">
              <w:rPr>
                <w:rFonts w:cs="Tahoma"/>
                <w:b/>
                <w:szCs w:val="16"/>
              </w:rPr>
              <w:t xml:space="preserve"> ejecución:</w:t>
            </w:r>
            <w:r w:rsidRPr="00993A15">
              <w:rPr>
                <w:rFonts w:cs="Tahoma"/>
                <w:szCs w:val="16"/>
              </w:rPr>
              <w:t xml:space="preserve"> </w:t>
            </w:r>
            <w:r w:rsidR="00542042" w:rsidRPr="00993A15">
              <w:rPr>
                <w:rFonts w:cs="Tahoma"/>
                <w:szCs w:val="16"/>
              </w:rPr>
              <w:t>La sobre ejecución del periodo se debe a que las obras en ejecución de delegaciones policiales</w:t>
            </w:r>
            <w:r w:rsidR="00542042" w:rsidRPr="00542042">
              <w:rPr>
                <w:rFonts w:cs="Tahoma"/>
                <w:szCs w:val="16"/>
              </w:rPr>
              <w:t xml:space="preserve"> han avanzado a un mejor ritmo de lo estimado a inicio de año, debido a una mejora en la gestión de los contratos. Con este avance la ejecución financiera registró sobre ejecución durante el periodo 2025. Se prevé que para el primer semestre de 2026 se finalicen 6 DP.</w:t>
            </w:r>
          </w:p>
        </w:tc>
        <w:tc>
          <w:tcPr>
            <w:tcW w:w="26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93360F1"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E02F20">
              <w:rPr>
                <w:rFonts w:cs="Tahoma"/>
                <w:szCs w:val="16"/>
              </w:rPr>
              <w:t>Unidad Ejecutora del Programa de Seguridad Ciudadana y Prevención de Violencia (UCPPSCPV). Ministerio de Justicia y Paz.</w:t>
            </w:r>
          </w:p>
        </w:tc>
        <w:tc>
          <w:tcPr>
            <w:tcW w:w="331" w:type="pct"/>
            <w:tcBorders>
              <w:top w:val="single" w:sz="12" w:space="0" w:color="FFFFFF"/>
              <w:left w:val="single" w:sz="12" w:space="0" w:color="FFFFFF"/>
              <w:bottom w:val="single" w:sz="12" w:space="0" w:color="FFFFFF"/>
              <w:right w:val="single" w:sz="12" w:space="0" w:color="FFFFFF"/>
            </w:tcBorders>
            <w:shd w:val="clear" w:color="auto" w:fill="92D050"/>
          </w:tcPr>
          <w:p w14:paraId="231ADBE3"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C43FB6">
              <w:rPr>
                <w:rFonts w:cs="Tahoma"/>
                <w:b/>
                <w:szCs w:val="16"/>
              </w:rPr>
              <w:t>Cumplimiento alto</w:t>
            </w:r>
          </w:p>
        </w:tc>
        <w:tc>
          <w:tcPr>
            <w:tcW w:w="190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079225FE"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8B574A">
              <w:rPr>
                <w:rFonts w:cs="Tahoma"/>
                <w:b/>
                <w:szCs w:val="16"/>
              </w:rPr>
              <w:t xml:space="preserve">Avance actual: </w:t>
            </w:r>
          </w:p>
          <w:p w14:paraId="0CC84037" w14:textId="55080D7F"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
                <w:szCs w:val="16"/>
              </w:rPr>
              <w:t>P1.3</w:t>
            </w:r>
            <w:r w:rsidRPr="008B574A">
              <w:rPr>
                <w:rFonts w:cs="Tahoma"/>
                <w:bCs/>
                <w:szCs w:val="16"/>
              </w:rPr>
              <w:t xml:space="preserve"> - Departamentos de la Fuerza Pública capacitados en análisis criminal y monitoreo de dinámicas delictivas: 29 (0,45%)</w:t>
            </w:r>
          </w:p>
          <w:p w14:paraId="795447A2" w14:textId="4856E6A7" w:rsid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
                <w:szCs w:val="16"/>
              </w:rPr>
              <w:t>P1.7</w:t>
            </w:r>
            <w:r w:rsidRPr="008B574A">
              <w:rPr>
                <w:rFonts w:cs="Tahoma"/>
                <w:bCs/>
                <w:szCs w:val="16"/>
              </w:rPr>
              <w:t xml:space="preserve"> - Delegaciones diseñadas, construida, equipadas y operando bajo el enfoque de policía comunitaria: 7 (33,24%)</w:t>
            </w:r>
          </w:p>
          <w:p w14:paraId="265AF395"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314D00E6" w14:textId="77777777" w:rsid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8B574A">
              <w:rPr>
                <w:rFonts w:cs="Tahoma"/>
                <w:b/>
                <w:szCs w:val="16"/>
              </w:rPr>
              <w:t>Logros del Proyecto 002674:</w:t>
            </w:r>
          </w:p>
          <w:p w14:paraId="3F26A363"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p>
          <w:p w14:paraId="72283285"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 xml:space="preserve">El avance reportado para el proyecto 002674 corresponde al cumplimiento del producto </w:t>
            </w:r>
            <w:r w:rsidRPr="008B574A">
              <w:rPr>
                <w:rFonts w:cs="Tahoma"/>
                <w:b/>
                <w:szCs w:val="16"/>
              </w:rPr>
              <w:t>P1.3</w:t>
            </w:r>
            <w:r w:rsidRPr="008B574A">
              <w:rPr>
                <w:rFonts w:cs="Tahoma"/>
                <w:bCs/>
                <w:szCs w:val="16"/>
              </w:rPr>
              <w:t xml:space="preserve"> el cual se cumplió en el periodo 2023. Además, para este periodo se registran avances en las siguientes acciones intermedias:</w:t>
            </w:r>
          </w:p>
          <w:p w14:paraId="0B2716A6"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
                <w:szCs w:val="16"/>
              </w:rPr>
              <w:t>P1.4</w:t>
            </w:r>
            <w:r w:rsidRPr="008B574A">
              <w:rPr>
                <w:rFonts w:cs="Tahoma"/>
                <w:bCs/>
                <w:szCs w:val="16"/>
              </w:rPr>
              <w:t xml:space="preserve"> – Estrategias policiales basadas en evidencia diseñadas e implementadas</w:t>
            </w:r>
          </w:p>
          <w:p w14:paraId="759C9B5E"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 xml:space="preserve">Al cierre del periodo, el producto se encuentra prácticamente finalizado, con todas las actividades de diseño e implementación ejecutadas conforme a lo planificado. Todos los procedimientos de análisis criminal se documentaron, así mismo, se brindó capacitación al personal policial y en el marco de su implementación se ejecutaron dos Experimentos Aleatorios Controlados (EAC) de </w:t>
            </w:r>
            <w:proofErr w:type="spellStart"/>
            <w:r w:rsidRPr="008B574A">
              <w:rPr>
                <w:rFonts w:cs="Tahoma"/>
                <w:bCs/>
                <w:szCs w:val="16"/>
              </w:rPr>
              <w:t>policiamiento</w:t>
            </w:r>
            <w:proofErr w:type="spellEnd"/>
            <w:r w:rsidRPr="008B574A">
              <w:rPr>
                <w:rFonts w:cs="Tahoma"/>
                <w:bCs/>
                <w:szCs w:val="16"/>
              </w:rPr>
              <w:t xml:space="preserve"> focalizado en puntos calientes. El primero en el cantón de Puntarenas que se encuentra finalizado y otro en los distritos de Hospital, Catedral, Merced y Carmen del cantón central de San José, el cual se encuentra en proceso. </w:t>
            </w:r>
          </w:p>
          <w:p w14:paraId="140166C7"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
                <w:szCs w:val="16"/>
              </w:rPr>
              <w:t>P1.5</w:t>
            </w:r>
            <w:r w:rsidRPr="008B574A">
              <w:rPr>
                <w:rFonts w:cs="Tahoma"/>
                <w:bCs/>
                <w:szCs w:val="16"/>
              </w:rPr>
              <w:t>. – Evaluación de impacto de las estrategias policiales basadas en evidencia</w:t>
            </w:r>
          </w:p>
          <w:p w14:paraId="14D09D10"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 xml:space="preserve">Derivado de la implementación de las pruebas piloto de las estrategias policiales basadas en evidencia, se desarrolló una metodología institucional de evaluación de impacto en materia de estrategias policiales, orientada al análisis científico de los datos que permita el desarrollo de estrategias policiales diferenciadas en la Fuerza Pública. Al cierre del periodo, ya se cuenta con los resultados del EAC de Puntarenas y se trabaja en el cierre para el EAC de San José. </w:t>
            </w:r>
          </w:p>
          <w:p w14:paraId="22262E34"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Adicionalmente, durante el período se presentaron los resultados finales de la evaluación de impacto del Curso de Doctrina Institucional y Legitimidad Policial, consolidando el análisis de los efectos del proceso formativo sobre la percepción institucional, la aplicación de la doctrina y las prácticas del personal policial.</w:t>
            </w:r>
          </w:p>
          <w:p w14:paraId="2DC74DFE"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
                <w:szCs w:val="16"/>
              </w:rPr>
              <w:t>P1.6</w:t>
            </w:r>
            <w:r w:rsidRPr="008B574A">
              <w:rPr>
                <w:rFonts w:cs="Tahoma"/>
                <w:bCs/>
                <w:szCs w:val="16"/>
              </w:rPr>
              <w:t xml:space="preserve"> – Sistema de procesamiento de quejas ciudadanas y procesos disciplinarios, fortalecido</w:t>
            </w:r>
          </w:p>
          <w:p w14:paraId="5207DF97"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Al cierre del periodo, el producto se encuentra prácticamente finalizado. Para su funcionalidad se desarrolló la arquitectura del sistema y se consolidaron sus componentes funcionales. Actualmente, se encuentra en ejecución la etapa de pruebas finales del sistema en el servidor provisional habilitado por el MSP, mientras se realiza la adquisición e instalación del servidor definitivo, para su puesta en operación plena y escalamiento institucional.</w:t>
            </w:r>
          </w:p>
          <w:p w14:paraId="1319874A"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
                <w:szCs w:val="16"/>
              </w:rPr>
              <w:t>P1.8</w:t>
            </w:r>
            <w:r w:rsidRPr="008B574A">
              <w:rPr>
                <w:rFonts w:cs="Tahoma"/>
                <w:bCs/>
                <w:szCs w:val="16"/>
              </w:rPr>
              <w:t xml:space="preserve"> – Centro de Mando y Control Policial: en etapa de diseño.</w:t>
            </w:r>
          </w:p>
          <w:p w14:paraId="5567D6C8"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Finalizada etapa de diseño y demolición de la estructura existente, en trámite permisos para inicio constructivo. Se analiza la incorporación de nuevos requerimientos del MSP.</w:t>
            </w:r>
          </w:p>
          <w:p w14:paraId="0BA799A4" w14:textId="77777777" w:rsid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Impacto logrado: Este avance contribuye a cerrar brechas de capacidad en la Fuerza Pública, mejorando la formación de los policías y optimizando la gestión de información clave para el análisis criminal en Costa Rica. Además, se contribuye al fortalecimiento institucional de la Fuerza Pública, mediante la implementación de estrategias de prevención del delito, la mejora de la legitimidad policial y el fortalecimiento de los canales de denuncia y control interno.</w:t>
            </w:r>
          </w:p>
          <w:p w14:paraId="279B06D6"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37BDDA08"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8B574A">
              <w:rPr>
                <w:rFonts w:cs="Tahoma"/>
                <w:b/>
                <w:szCs w:val="16"/>
              </w:rPr>
              <w:t>Logros del Proyecto 002675:</w:t>
            </w:r>
          </w:p>
          <w:p w14:paraId="09623A41"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El avance reportado incluye la inauguración de siete delegaciones policiales, con el siguiente detalle:</w:t>
            </w:r>
          </w:p>
          <w:p w14:paraId="18617ED2"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Región Huetar Caribe:</w:t>
            </w:r>
          </w:p>
          <w:p w14:paraId="6F4B0265" w14:textId="1085BEDD" w:rsidR="008B574A" w:rsidRPr="008B574A" w:rsidRDefault="008B574A" w:rsidP="008B574A">
            <w:pPr>
              <w:pStyle w:val="Prrafodelista"/>
              <w:numPr>
                <w:ilvl w:val="0"/>
                <w:numId w:val="3"/>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Siquirres: Inaugurada y en operación desde octubre de 2023.</w:t>
            </w:r>
          </w:p>
          <w:p w14:paraId="2BA7E12B" w14:textId="40792160" w:rsidR="008B574A" w:rsidRPr="008B574A" w:rsidRDefault="008B574A" w:rsidP="008B574A">
            <w:pPr>
              <w:pStyle w:val="Prrafodelista"/>
              <w:numPr>
                <w:ilvl w:val="0"/>
                <w:numId w:val="3"/>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Horquetas: Inaugurada y en operación desde septiembre de 2024.</w:t>
            </w:r>
          </w:p>
          <w:p w14:paraId="6275E77D" w14:textId="27DD90A4" w:rsidR="008B574A" w:rsidRPr="008B574A" w:rsidRDefault="008B574A" w:rsidP="008B574A">
            <w:pPr>
              <w:pStyle w:val="Prrafodelista"/>
              <w:numPr>
                <w:ilvl w:val="0"/>
                <w:numId w:val="3"/>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Puerto Viejo: Inaugurada y en operación desde noviembre de 2024.</w:t>
            </w:r>
          </w:p>
          <w:p w14:paraId="603EA171" w14:textId="532CFCF2" w:rsidR="008B574A" w:rsidRPr="008B574A" w:rsidRDefault="008B574A" w:rsidP="008B574A">
            <w:pPr>
              <w:pStyle w:val="Prrafodelista"/>
              <w:numPr>
                <w:ilvl w:val="0"/>
                <w:numId w:val="3"/>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Guácimo: Inaugurada y en operación desde mayo de 2025.</w:t>
            </w:r>
          </w:p>
          <w:p w14:paraId="5DC44FA1" w14:textId="50900D0F" w:rsidR="008B574A" w:rsidRPr="008B574A" w:rsidRDefault="008B574A" w:rsidP="008B574A">
            <w:pPr>
              <w:pStyle w:val="Prrafodelista"/>
              <w:numPr>
                <w:ilvl w:val="0"/>
                <w:numId w:val="3"/>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Batán: En etapa constructiva (Avance físico: 46%).</w:t>
            </w:r>
          </w:p>
          <w:p w14:paraId="4F2FBCB0" w14:textId="7AACB62C" w:rsidR="008B574A" w:rsidRDefault="008B574A" w:rsidP="008B574A">
            <w:pPr>
              <w:pStyle w:val="Prrafodelista"/>
              <w:numPr>
                <w:ilvl w:val="0"/>
                <w:numId w:val="3"/>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Pococí: Finalizada etapa de diseño, en trámite permisos para inicio constructivo.</w:t>
            </w:r>
          </w:p>
          <w:p w14:paraId="77B56171" w14:textId="77777777" w:rsidR="008B574A" w:rsidRPr="008B574A" w:rsidRDefault="008B574A" w:rsidP="008B574A">
            <w:pPr>
              <w:pStyle w:val="Prrafodelista"/>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756686AC"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Gran Área Metropolitana (GAM):</w:t>
            </w:r>
          </w:p>
          <w:p w14:paraId="79497369" w14:textId="27ED1406" w:rsidR="008B574A" w:rsidRPr="008B574A" w:rsidRDefault="008B574A" w:rsidP="008B574A">
            <w:pPr>
              <w:pStyle w:val="Prrafodelista"/>
              <w:numPr>
                <w:ilvl w:val="0"/>
                <w:numId w:val="29"/>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Desamparados Sur: Inaugurada y en operación desde noviembre de 2024.</w:t>
            </w:r>
          </w:p>
          <w:p w14:paraId="11DD77F6" w14:textId="45753100" w:rsidR="008B574A" w:rsidRPr="008B574A" w:rsidRDefault="008B574A" w:rsidP="008B574A">
            <w:pPr>
              <w:pStyle w:val="Prrafodelista"/>
              <w:numPr>
                <w:ilvl w:val="0"/>
                <w:numId w:val="29"/>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Santa Ana: Inaugurada y en operación desde septiembre de 2024.</w:t>
            </w:r>
          </w:p>
          <w:p w14:paraId="784FD2BC" w14:textId="71A655A6" w:rsidR="008B574A" w:rsidRPr="008B574A" w:rsidRDefault="008B574A" w:rsidP="008B574A">
            <w:pPr>
              <w:pStyle w:val="Prrafodelista"/>
              <w:numPr>
                <w:ilvl w:val="0"/>
                <w:numId w:val="29"/>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Hatillo: En etapa constructiva (Avance físico: 65%).</w:t>
            </w:r>
          </w:p>
          <w:p w14:paraId="2954633F" w14:textId="095A171D" w:rsidR="008B574A" w:rsidRPr="008B574A" w:rsidRDefault="008B574A" w:rsidP="008B574A">
            <w:pPr>
              <w:pStyle w:val="Prrafodelista"/>
              <w:numPr>
                <w:ilvl w:val="0"/>
                <w:numId w:val="29"/>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lastRenderedPageBreak/>
              <w:t>DP Desamparados Norte: En etapa constructiva (Avance físico: 50%).</w:t>
            </w:r>
          </w:p>
          <w:p w14:paraId="25701F8F" w14:textId="7CE5C270" w:rsidR="008B574A" w:rsidRPr="008B574A" w:rsidRDefault="008B574A" w:rsidP="008B574A">
            <w:pPr>
              <w:pStyle w:val="Prrafodelista"/>
              <w:numPr>
                <w:ilvl w:val="0"/>
                <w:numId w:val="29"/>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San Ramón. En etapa constructiva (Avance físico: 55%).</w:t>
            </w:r>
          </w:p>
          <w:p w14:paraId="59778937" w14:textId="0EA17226" w:rsidR="008B574A" w:rsidRPr="008B574A" w:rsidRDefault="008B574A" w:rsidP="008B574A">
            <w:pPr>
              <w:pStyle w:val="Prrafodelista"/>
              <w:numPr>
                <w:ilvl w:val="0"/>
                <w:numId w:val="29"/>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Turrialba: Finalizada etapa de diseño, en trámite permisos para inicio constructivo.</w:t>
            </w:r>
          </w:p>
          <w:p w14:paraId="7CF64426" w14:textId="77777777" w:rsid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59D7DBC5" w14:textId="4EDFDB8B"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Región Pacífico Central:</w:t>
            </w:r>
          </w:p>
          <w:p w14:paraId="4916F7C5" w14:textId="68ED009A" w:rsidR="008B574A" w:rsidRPr="008B574A" w:rsidRDefault="008B574A" w:rsidP="008B574A">
            <w:pPr>
              <w:pStyle w:val="Prrafodelista"/>
              <w:numPr>
                <w:ilvl w:val="0"/>
                <w:numId w:val="30"/>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Puntarenas Norte: Inaugurada y en operación desde noviembre de 2024.</w:t>
            </w:r>
          </w:p>
          <w:p w14:paraId="2877FE50"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112C2D4A" w14:textId="77777777" w:rsidR="008B574A" w:rsidRP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Región Chorotega:</w:t>
            </w:r>
          </w:p>
          <w:p w14:paraId="66D238DC" w14:textId="7F097A5E" w:rsidR="008B574A" w:rsidRPr="008B574A" w:rsidRDefault="008B574A" w:rsidP="008B574A">
            <w:pPr>
              <w:pStyle w:val="Prrafodelista"/>
              <w:numPr>
                <w:ilvl w:val="0"/>
                <w:numId w:val="30"/>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Abangares: En etapa constructiva (Avance físico: 67%).</w:t>
            </w:r>
          </w:p>
          <w:p w14:paraId="29DC4CFB" w14:textId="3A28B3EE" w:rsidR="008B574A" w:rsidRPr="008B574A" w:rsidRDefault="008B574A" w:rsidP="008B574A">
            <w:pPr>
              <w:pStyle w:val="Prrafodelista"/>
              <w:numPr>
                <w:ilvl w:val="0"/>
                <w:numId w:val="30"/>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8B574A">
              <w:rPr>
                <w:rFonts w:cs="Tahoma"/>
                <w:bCs/>
                <w:szCs w:val="16"/>
              </w:rPr>
              <w:t>DP Nicoya: En etapa constructiva (Avance físico: 31%).</w:t>
            </w:r>
          </w:p>
          <w:p w14:paraId="707A9104" w14:textId="77777777" w:rsidR="008B574A"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09BD46F8" w14:textId="468B7E56" w:rsidR="006D3EDA" w:rsidRPr="00957FA8" w:rsidRDefault="008B574A" w:rsidP="008B574A">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B574A">
              <w:rPr>
                <w:rFonts w:cs="Tahoma"/>
                <w:b/>
                <w:szCs w:val="16"/>
              </w:rPr>
              <w:t>Impacto logrado:</w:t>
            </w:r>
            <w:r w:rsidRPr="008B574A">
              <w:rPr>
                <w:rFonts w:cs="Tahoma"/>
                <w:bCs/>
                <w:szCs w:val="16"/>
              </w:rPr>
              <w:t xml:space="preserve"> Las nuevas delegaciones fortalecen la infraestructura policial en comunidades clave como Siquirres, Horquetas, Santa Ana, Puerto Viejo, Guácimo, Puntarenas Norte y Desamparados Sur, ofreciendo condiciones óptimas para los oficiales de la Fuerza Pública y mejorando la calidad del servicio en cada comunidad</w:t>
            </w:r>
            <w:r w:rsidRPr="008B574A">
              <w:rPr>
                <w:rFonts w:cs="Tahoma"/>
                <w:b/>
                <w:szCs w:val="16"/>
              </w:rPr>
              <w:t>.</w:t>
            </w:r>
          </w:p>
        </w:tc>
      </w:tr>
    </w:tbl>
    <w:p w14:paraId="6C3174B7" w14:textId="77777777" w:rsidR="008A31D0" w:rsidRPr="00462C13" w:rsidRDefault="008A31D0" w:rsidP="008A31D0">
      <w:pPr>
        <w:spacing w:after="0" w:line="240" w:lineRule="auto"/>
        <w:ind w:left="426" w:hanging="360"/>
        <w:rPr>
          <w:rFonts w:cs="Tahoma"/>
          <w:szCs w:val="20"/>
        </w:rPr>
      </w:pPr>
      <w:r w:rsidRPr="00462C13">
        <w:rPr>
          <w:rFonts w:cs="Tahoma"/>
          <w:szCs w:val="20"/>
        </w:rPr>
        <w:lastRenderedPageBreak/>
        <w:t>Fuente: Unidad Ejecutora del Programa de Seguridad Ciudadana y Prevención de Violencia (UCPPSCPV), Ministerio de Justicia y Paz, 202</w:t>
      </w:r>
      <w:r>
        <w:rPr>
          <w:rFonts w:cs="Tahoma"/>
          <w:szCs w:val="20"/>
        </w:rPr>
        <w:t>6</w:t>
      </w:r>
      <w:r w:rsidRPr="00462C13">
        <w:rPr>
          <w:rFonts w:cs="Tahoma"/>
          <w:szCs w:val="20"/>
        </w:rPr>
        <w:t>.</w:t>
      </w:r>
    </w:p>
    <w:p w14:paraId="7D77E74E" w14:textId="77777777" w:rsidR="006D3EDA" w:rsidRDefault="006D3EDA" w:rsidP="006D3EDA">
      <w:pPr>
        <w:spacing w:after="0" w:line="240" w:lineRule="auto"/>
        <w:ind w:left="426" w:hanging="360"/>
        <w:rPr>
          <w:rFonts w:cs="Tahoma"/>
          <w:szCs w:val="20"/>
        </w:rPr>
      </w:pPr>
    </w:p>
    <w:p w14:paraId="7BF198C3" w14:textId="77777777" w:rsidR="006D3EDA" w:rsidRDefault="006D3EDA" w:rsidP="006D3EDA">
      <w:pPr>
        <w:spacing w:after="0" w:line="240" w:lineRule="auto"/>
        <w:ind w:left="426" w:hanging="360"/>
        <w:rPr>
          <w:rFonts w:cs="Tahoma"/>
          <w:szCs w:val="20"/>
        </w:rPr>
      </w:pPr>
    </w:p>
    <w:tbl>
      <w:tblPr>
        <w:tblStyle w:val="Tablaclsica3"/>
        <w:tblW w:w="5000" w:type="pct"/>
        <w:jc w:val="center"/>
        <w:tblLook w:val="04A0" w:firstRow="1" w:lastRow="0" w:firstColumn="1" w:lastColumn="0" w:noHBand="0" w:noVBand="1"/>
      </w:tblPr>
      <w:tblGrid>
        <w:gridCol w:w="1438"/>
        <w:gridCol w:w="1328"/>
        <w:gridCol w:w="1413"/>
        <w:gridCol w:w="771"/>
        <w:gridCol w:w="924"/>
        <w:gridCol w:w="777"/>
        <w:gridCol w:w="1458"/>
        <w:gridCol w:w="1458"/>
        <w:gridCol w:w="1408"/>
        <w:gridCol w:w="1134"/>
        <w:gridCol w:w="1339"/>
        <w:gridCol w:w="8166"/>
      </w:tblGrid>
      <w:tr w:rsidR="006D3EDA" w:rsidRPr="00462C13" w14:paraId="2C374065" w14:textId="77777777" w:rsidTr="008A31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33" w:type="pct"/>
            <w:vMerge w:val="restart"/>
            <w:tcBorders>
              <w:top w:val="single" w:sz="12" w:space="0" w:color="FFFFFF"/>
              <w:left w:val="single" w:sz="12" w:space="0" w:color="FFFFFF"/>
              <w:bottom w:val="single" w:sz="12" w:space="0" w:color="FFFFFF"/>
              <w:right w:val="single" w:sz="12" w:space="0" w:color="FFFFFF"/>
            </w:tcBorders>
            <w:shd w:val="clear" w:color="auto" w:fill="003A70"/>
          </w:tcPr>
          <w:p w14:paraId="542B0016" w14:textId="77777777" w:rsidR="006D3EDA" w:rsidRPr="00462C13" w:rsidRDefault="006D3EDA" w:rsidP="005B79CC">
            <w:pPr>
              <w:rPr>
                <w:rFonts w:eastAsia="Arial Unicode MS" w:cs="Tahoma"/>
                <w:szCs w:val="16"/>
                <w:bdr w:val="none" w:sz="0" w:space="0" w:color="auto" w:frame="1"/>
              </w:rPr>
            </w:pPr>
            <w:r w:rsidRPr="00462C13">
              <w:rPr>
                <w:rFonts w:eastAsia="Arial Unicode MS" w:cs="Tahoma"/>
                <w:szCs w:val="16"/>
                <w:bdr w:val="none" w:sz="0" w:space="0" w:color="auto" w:frame="1"/>
              </w:rPr>
              <w:t xml:space="preserve">Objetivo </w:t>
            </w:r>
          </w:p>
        </w:tc>
        <w:tc>
          <w:tcPr>
            <w:tcW w:w="634" w:type="pct"/>
            <w:gridSpan w:val="2"/>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10AF3186"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xml:space="preserve">Programación </w:t>
            </w:r>
          </w:p>
          <w:p w14:paraId="2C0B99E1"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PNDIP 2023-2026</w:t>
            </w:r>
          </w:p>
        </w:tc>
        <w:tc>
          <w:tcPr>
            <w:tcW w:w="4033" w:type="pct"/>
            <w:gridSpan w:val="9"/>
            <w:tcBorders>
              <w:top w:val="single" w:sz="12" w:space="0" w:color="FFFFFF"/>
              <w:left w:val="single" w:sz="12" w:space="0" w:color="FFFFFF"/>
              <w:bottom w:val="single" w:sz="12" w:space="0" w:color="FFFFFF"/>
              <w:right w:val="single" w:sz="12" w:space="0" w:color="FFFFFF"/>
            </w:tcBorders>
            <w:shd w:val="clear" w:color="auto" w:fill="003A70"/>
          </w:tcPr>
          <w:p w14:paraId="541B090E" w14:textId="3F8800B8"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224BD7">
              <w:rPr>
                <w:rFonts w:eastAsia="Arial Unicode MS" w:cs="Tahoma"/>
                <w:szCs w:val="16"/>
                <w:bdr w:val="none" w:sz="0" w:space="0" w:color="auto" w:frame="1"/>
              </w:rPr>
              <w:t xml:space="preserve">Seguimiento </w:t>
            </w:r>
            <w:r>
              <w:rPr>
                <w:rFonts w:eastAsia="Arial Unicode MS" w:cs="Tahoma"/>
                <w:szCs w:val="16"/>
                <w:bdr w:val="none" w:sz="0" w:space="0" w:color="auto" w:frame="1"/>
              </w:rPr>
              <w:t xml:space="preserve">Anual </w:t>
            </w:r>
            <w:r w:rsidRPr="00224BD7">
              <w:rPr>
                <w:rFonts w:eastAsia="Arial Unicode MS" w:cs="Tahoma"/>
                <w:szCs w:val="16"/>
                <w:bdr w:val="none" w:sz="0" w:space="0" w:color="auto" w:frame="1"/>
              </w:rPr>
              <w:t>202</w:t>
            </w:r>
            <w:r w:rsidR="004B4F07">
              <w:rPr>
                <w:rFonts w:eastAsia="Arial Unicode MS" w:cs="Tahoma"/>
                <w:szCs w:val="16"/>
                <w:bdr w:val="none" w:sz="0" w:space="0" w:color="auto" w:frame="1"/>
              </w:rPr>
              <w:t>5</w:t>
            </w:r>
          </w:p>
        </w:tc>
      </w:tr>
      <w:tr w:rsidR="006D3EDA" w:rsidRPr="00462C13" w14:paraId="5D5A1C24" w14:textId="77777777" w:rsidTr="008A31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33" w:type="pct"/>
            <w:vMerge/>
            <w:tcBorders>
              <w:top w:val="single" w:sz="12" w:space="0" w:color="FFFFFF"/>
              <w:left w:val="single" w:sz="12" w:space="0" w:color="FFFFFF"/>
              <w:bottom w:val="single" w:sz="12" w:space="0" w:color="FFFFFF"/>
              <w:right w:val="single" w:sz="12" w:space="0" w:color="FFFFFF"/>
            </w:tcBorders>
            <w:shd w:val="clear" w:color="auto" w:fill="003A70"/>
            <w:hideMark/>
          </w:tcPr>
          <w:p w14:paraId="5EAE2227" w14:textId="77777777" w:rsidR="006D3EDA" w:rsidRPr="00462C13" w:rsidRDefault="006D3EDA" w:rsidP="005B79CC">
            <w:pPr>
              <w:rPr>
                <w:rFonts w:eastAsia="Arial Unicode MS" w:cs="Tahoma"/>
                <w:szCs w:val="16"/>
                <w:bdr w:val="none" w:sz="0" w:space="0" w:color="auto" w:frame="1"/>
              </w:rPr>
            </w:pPr>
          </w:p>
        </w:tc>
        <w:tc>
          <w:tcPr>
            <w:tcW w:w="634" w:type="pct"/>
            <w:gridSpan w:val="2"/>
            <w:vMerge/>
            <w:tcBorders>
              <w:top w:val="single" w:sz="12" w:space="0" w:color="FFFFFF"/>
              <w:left w:val="single" w:sz="12" w:space="0" w:color="FFFFFF"/>
              <w:bottom w:val="single" w:sz="12" w:space="0" w:color="FFFFFF"/>
              <w:right w:val="single" w:sz="12" w:space="0" w:color="FFFFFF"/>
            </w:tcBorders>
            <w:shd w:val="clear" w:color="auto" w:fill="003A70"/>
            <w:hideMark/>
          </w:tcPr>
          <w:p w14:paraId="59612C99"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78" w:type="pct"/>
            <w:vMerge w:val="restart"/>
            <w:tcBorders>
              <w:top w:val="single" w:sz="12" w:space="0" w:color="FFFFFF"/>
              <w:left w:val="single" w:sz="12" w:space="0" w:color="FFFFFF"/>
              <w:right w:val="single" w:sz="12" w:space="0" w:color="FFFFFF"/>
            </w:tcBorders>
            <w:shd w:val="clear" w:color="auto" w:fill="003A70"/>
            <w:hideMark/>
          </w:tcPr>
          <w:p w14:paraId="7FF8E22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Meta Anual</w:t>
            </w:r>
          </w:p>
        </w:tc>
        <w:tc>
          <w:tcPr>
            <w:tcW w:w="214"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0A0862E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Absoluto</w:t>
            </w:r>
          </w:p>
        </w:tc>
        <w:tc>
          <w:tcPr>
            <w:tcW w:w="180" w:type="pct"/>
            <w:vMerge w:val="restart"/>
            <w:tcBorders>
              <w:top w:val="single" w:sz="12" w:space="0" w:color="FFFFFF"/>
              <w:left w:val="single" w:sz="12" w:space="0" w:color="FFFFFF"/>
              <w:right w:val="single" w:sz="12" w:space="0" w:color="FFFFFF"/>
            </w:tcBorders>
            <w:shd w:val="clear" w:color="auto" w:fill="003A70"/>
            <w:hideMark/>
          </w:tcPr>
          <w:p w14:paraId="7EC64FD7"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de avance</w:t>
            </w:r>
          </w:p>
        </w:tc>
        <w:tc>
          <w:tcPr>
            <w:tcW w:w="1000" w:type="pct"/>
            <w:gridSpan w:val="3"/>
            <w:tcBorders>
              <w:top w:val="single" w:sz="12" w:space="0" w:color="FFFFFF"/>
              <w:left w:val="single" w:sz="12" w:space="0" w:color="FFFFFF"/>
              <w:bottom w:val="single" w:sz="4" w:space="0" w:color="auto"/>
              <w:right w:val="single" w:sz="12" w:space="0" w:color="FFFFFF"/>
            </w:tcBorders>
            <w:shd w:val="clear" w:color="auto" w:fill="003A70"/>
          </w:tcPr>
          <w:p w14:paraId="18F1DFD9" w14:textId="400B6540"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Presupuesto 202</w:t>
            </w:r>
            <w:r w:rsidR="004B4F07">
              <w:rPr>
                <w:rFonts w:eastAsia="Arial Unicode MS" w:cs="Tahoma"/>
                <w:szCs w:val="16"/>
                <w:bdr w:val="none" w:sz="0" w:space="0" w:color="auto" w:frame="1"/>
              </w:rPr>
              <w:t>5</w:t>
            </w:r>
          </w:p>
        </w:tc>
        <w:tc>
          <w:tcPr>
            <w:tcW w:w="262" w:type="pct"/>
            <w:vMerge w:val="restart"/>
            <w:tcBorders>
              <w:top w:val="single" w:sz="12" w:space="0" w:color="FFFFFF"/>
              <w:left w:val="single" w:sz="12" w:space="0" w:color="FFFFFF"/>
              <w:right w:val="single" w:sz="12" w:space="0" w:color="FFFFFF"/>
            </w:tcBorders>
            <w:shd w:val="clear" w:color="auto" w:fill="003A70"/>
          </w:tcPr>
          <w:p w14:paraId="12253B50"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Responsable</w:t>
            </w:r>
          </w:p>
        </w:tc>
        <w:tc>
          <w:tcPr>
            <w:tcW w:w="310"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3961175F"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BF3111">
              <w:rPr>
                <w:rFonts w:eastAsia="Arial Unicode MS" w:cs="Tahoma"/>
                <w:szCs w:val="16"/>
                <w:bdr w:val="none" w:sz="0" w:space="0" w:color="auto" w:frame="1"/>
              </w:rPr>
              <w:t>Clasificación de cumplimiento</w:t>
            </w:r>
          </w:p>
        </w:tc>
        <w:tc>
          <w:tcPr>
            <w:tcW w:w="1889"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5CCA70E6"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vertAlign w:val="superscript"/>
              </w:rPr>
            </w:pPr>
            <w:r w:rsidRPr="007B087D">
              <w:rPr>
                <w:rFonts w:eastAsia="Arial Unicode MS" w:cs="Tahoma"/>
                <w:sz w:val="24"/>
                <w:szCs w:val="16"/>
                <w:bdr w:val="none" w:sz="0" w:space="0" w:color="auto" w:frame="1"/>
              </w:rPr>
              <w:t xml:space="preserve">Logros </w:t>
            </w:r>
          </w:p>
        </w:tc>
      </w:tr>
      <w:tr w:rsidR="00B705B0" w:rsidRPr="00462C13" w14:paraId="0CE6DE1D" w14:textId="77777777" w:rsidTr="008A31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33" w:type="pct"/>
            <w:vMerge/>
            <w:tcBorders>
              <w:top w:val="single" w:sz="12" w:space="0" w:color="FFFFFF"/>
              <w:left w:val="single" w:sz="12" w:space="0" w:color="FFFFFF"/>
              <w:bottom w:val="single" w:sz="12" w:space="0" w:color="FFFFFF"/>
              <w:right w:val="single" w:sz="12" w:space="0" w:color="FFFFFF"/>
            </w:tcBorders>
            <w:hideMark/>
          </w:tcPr>
          <w:p w14:paraId="64F68331" w14:textId="77777777" w:rsidR="006D3EDA" w:rsidRPr="00462C13" w:rsidRDefault="006D3EDA" w:rsidP="005B79CC">
            <w:pPr>
              <w:rPr>
                <w:rFonts w:eastAsia="Arial Unicode MS" w:cs="Tahoma"/>
                <w:szCs w:val="16"/>
                <w:bdr w:val="none" w:sz="0" w:space="0" w:color="auto" w:frame="1"/>
              </w:rPr>
            </w:pPr>
          </w:p>
        </w:tc>
        <w:tc>
          <w:tcPr>
            <w:tcW w:w="307" w:type="pct"/>
            <w:tcBorders>
              <w:top w:val="single" w:sz="12" w:space="0" w:color="FFFFFF"/>
              <w:left w:val="single" w:sz="12" w:space="0" w:color="FFFFFF"/>
              <w:bottom w:val="single" w:sz="12" w:space="0" w:color="FFFFFF"/>
              <w:right w:val="single" w:sz="12" w:space="0" w:color="FFFFFF"/>
            </w:tcBorders>
            <w:shd w:val="clear" w:color="auto" w:fill="003A70"/>
            <w:hideMark/>
          </w:tcPr>
          <w:p w14:paraId="6013E124"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Indicadores</w:t>
            </w:r>
          </w:p>
        </w:tc>
        <w:tc>
          <w:tcPr>
            <w:tcW w:w="327" w:type="pct"/>
            <w:tcBorders>
              <w:top w:val="single" w:sz="12" w:space="0" w:color="FFFFFF"/>
              <w:left w:val="single" w:sz="12" w:space="0" w:color="FFFFFF"/>
              <w:bottom w:val="single" w:sz="12" w:space="0" w:color="FFFFFF"/>
              <w:right w:val="single" w:sz="12" w:space="0" w:color="FFFFFF"/>
            </w:tcBorders>
            <w:shd w:val="clear" w:color="auto" w:fill="003A70"/>
            <w:hideMark/>
          </w:tcPr>
          <w:p w14:paraId="75B102F5"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 xml:space="preserve">Metas Periodo </w:t>
            </w:r>
          </w:p>
        </w:tc>
        <w:tc>
          <w:tcPr>
            <w:tcW w:w="178" w:type="pct"/>
            <w:vMerge/>
            <w:tcBorders>
              <w:left w:val="single" w:sz="12" w:space="0" w:color="FFFFFF"/>
              <w:bottom w:val="single" w:sz="12" w:space="0" w:color="FFFFFF"/>
              <w:right w:val="single" w:sz="12" w:space="0" w:color="FFFFFF"/>
            </w:tcBorders>
            <w:hideMark/>
          </w:tcPr>
          <w:p w14:paraId="22CB6BE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14" w:type="pct"/>
            <w:vMerge/>
            <w:tcBorders>
              <w:top w:val="single" w:sz="12" w:space="0" w:color="FFFFFF"/>
              <w:left w:val="single" w:sz="12" w:space="0" w:color="FFFFFF"/>
              <w:bottom w:val="single" w:sz="12" w:space="0" w:color="FFFFFF"/>
              <w:right w:val="single" w:sz="12" w:space="0" w:color="FFFFFF"/>
            </w:tcBorders>
            <w:shd w:val="clear" w:color="auto" w:fill="003366"/>
            <w:hideMark/>
          </w:tcPr>
          <w:p w14:paraId="70F6B91B"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80" w:type="pct"/>
            <w:vMerge/>
            <w:tcBorders>
              <w:left w:val="single" w:sz="12" w:space="0" w:color="FFFFFF"/>
              <w:bottom w:val="single" w:sz="12" w:space="0" w:color="FFFFFF"/>
              <w:right w:val="single" w:sz="12" w:space="0" w:color="FFFFFF"/>
            </w:tcBorders>
            <w:hideMark/>
          </w:tcPr>
          <w:p w14:paraId="4428324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37" w:type="pct"/>
            <w:tcBorders>
              <w:left w:val="single" w:sz="12" w:space="0" w:color="FFFFFF"/>
              <w:bottom w:val="single" w:sz="12" w:space="0" w:color="FFFFFF"/>
              <w:right w:val="single" w:sz="12" w:space="0" w:color="FFFFFF"/>
            </w:tcBorders>
            <w:shd w:val="clear" w:color="auto" w:fill="003A70"/>
          </w:tcPr>
          <w:p w14:paraId="551C9B6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rPr>
            </w:pPr>
            <w:r w:rsidRPr="00650798">
              <w:rPr>
                <w:rFonts w:ascii="Arial" w:eastAsia="Arial Unicode MS" w:hAnsi="Arial" w:cs="Arial"/>
                <w:color w:val="auto"/>
                <w:szCs w:val="12"/>
                <w:bdr w:val="none" w:sz="0" w:space="0" w:color="auto" w:frame="1"/>
                <w:lang w:eastAsia="en-US"/>
              </w:rPr>
              <w:t>Presupuesto programado</w:t>
            </w:r>
          </w:p>
        </w:tc>
        <w:tc>
          <w:tcPr>
            <w:tcW w:w="337" w:type="pct"/>
            <w:tcBorders>
              <w:left w:val="single" w:sz="12" w:space="0" w:color="FFFFFF"/>
              <w:bottom w:val="single" w:sz="12" w:space="0" w:color="FFFFFF"/>
              <w:right w:val="single" w:sz="12" w:space="0" w:color="FFFFFF"/>
            </w:tcBorders>
            <w:shd w:val="clear" w:color="auto" w:fill="003A70"/>
          </w:tcPr>
          <w:p w14:paraId="4582128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Monto ejecutado</w:t>
            </w:r>
          </w:p>
        </w:tc>
        <w:tc>
          <w:tcPr>
            <w:tcW w:w="326" w:type="pct"/>
            <w:tcBorders>
              <w:left w:val="single" w:sz="12" w:space="0" w:color="FFFFFF"/>
              <w:bottom w:val="single" w:sz="12" w:space="0" w:color="FFFFFF"/>
              <w:right w:val="single" w:sz="12" w:space="0" w:color="FFFFFF"/>
            </w:tcBorders>
            <w:shd w:val="clear" w:color="auto" w:fill="003A70"/>
          </w:tcPr>
          <w:p w14:paraId="2A0CF47F"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Información cualitativa</w:t>
            </w:r>
          </w:p>
        </w:tc>
        <w:tc>
          <w:tcPr>
            <w:tcW w:w="262" w:type="pct"/>
            <w:vMerge/>
            <w:tcBorders>
              <w:left w:val="single" w:sz="12" w:space="0" w:color="FFFFFF"/>
              <w:bottom w:val="single" w:sz="12" w:space="0" w:color="FFFFFF"/>
              <w:right w:val="single" w:sz="12" w:space="0" w:color="FFFFFF"/>
            </w:tcBorders>
          </w:tcPr>
          <w:p w14:paraId="4E0C7BD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10" w:type="pct"/>
            <w:vMerge/>
            <w:tcBorders>
              <w:top w:val="single" w:sz="12" w:space="0" w:color="FFFFFF"/>
              <w:left w:val="single" w:sz="12" w:space="0" w:color="FFFFFF"/>
              <w:bottom w:val="single" w:sz="12" w:space="0" w:color="FFFFFF"/>
              <w:right w:val="single" w:sz="12" w:space="0" w:color="FFFFFF"/>
            </w:tcBorders>
            <w:hideMark/>
          </w:tcPr>
          <w:p w14:paraId="4FF88AF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889" w:type="pct"/>
            <w:vMerge/>
            <w:tcBorders>
              <w:top w:val="single" w:sz="12" w:space="0" w:color="FFFFFF"/>
              <w:left w:val="single" w:sz="12" w:space="0" w:color="FFFFFF"/>
              <w:bottom w:val="single" w:sz="12" w:space="0" w:color="FFFFFF"/>
              <w:right w:val="single" w:sz="12" w:space="0" w:color="FFFFFF"/>
            </w:tcBorders>
            <w:hideMark/>
          </w:tcPr>
          <w:p w14:paraId="0CF778ED"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vertAlign w:val="superscript"/>
              </w:rPr>
            </w:pPr>
          </w:p>
        </w:tc>
      </w:tr>
      <w:tr w:rsidR="006D3EDA" w:rsidRPr="00462C13" w14:paraId="4FF699E0" w14:textId="77777777" w:rsidTr="008A31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3"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0FE3B2FD" w14:textId="77777777" w:rsidR="006D3EDA" w:rsidRPr="00462C13" w:rsidRDefault="006D3EDA" w:rsidP="005B79CC">
            <w:pPr>
              <w:jc w:val="both"/>
              <w:rPr>
                <w:rFonts w:cs="Tahoma"/>
                <w:b/>
              </w:rPr>
            </w:pPr>
            <w:r w:rsidRPr="00462C13">
              <w:rPr>
                <w:rFonts w:cs="Tahoma"/>
                <w:b/>
                <w:bCs w:val="0"/>
                <w:szCs w:val="22"/>
              </w:rPr>
              <w:t xml:space="preserve">2.1. </w:t>
            </w:r>
            <w:r w:rsidRPr="00462C13">
              <w:rPr>
                <w:rFonts w:cs="Tahoma"/>
                <w:bCs w:val="0"/>
                <w:szCs w:val="22"/>
              </w:rPr>
              <w:t>Implementar el Programa de fortalecimiento de la seguridad ciudadana y prevención de violencia con el fin de reducir los comportamientos delictivos de adolescentes y jóvenes vulnerables a la violencia, en distritos con desventajas concentradas.</w:t>
            </w:r>
          </w:p>
        </w:tc>
        <w:tc>
          <w:tcPr>
            <w:tcW w:w="30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D564D15" w14:textId="77777777" w:rsidR="006D3EDA"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22"/>
              </w:rPr>
            </w:pPr>
            <w:r w:rsidRPr="00462C13">
              <w:rPr>
                <w:rFonts w:cs="Tahoma"/>
                <w:b/>
                <w:bCs/>
                <w:szCs w:val="22"/>
              </w:rPr>
              <w:t>A.2.1.2</w:t>
            </w:r>
            <w:r w:rsidRPr="00462C13">
              <w:rPr>
                <w:rFonts w:cs="Tahoma"/>
                <w:szCs w:val="22"/>
              </w:rPr>
              <w:t xml:space="preserve"> Porcentaje acumulado de avance en la implementación del Componente 2 “Prevención Social de la Violencia” del Programa de fortalecimiento de Seguridad Ciudadana y Prevención de Violencia.</w:t>
            </w:r>
          </w:p>
          <w:p w14:paraId="62D7E8CE" w14:textId="77777777" w:rsidR="006D3EDA"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b/>
                <w:bCs/>
              </w:rPr>
            </w:pPr>
          </w:p>
          <w:p w14:paraId="100B204C" w14:textId="77777777" w:rsidR="006D3EDA"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b/>
                <w:bCs/>
              </w:rPr>
            </w:pPr>
          </w:p>
          <w:p w14:paraId="15E2C7F2" w14:textId="08E9A555" w:rsidR="006D3EDA" w:rsidRPr="00462C13"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b/>
                <w:bCs/>
              </w:rPr>
            </w:pPr>
          </w:p>
        </w:tc>
        <w:tc>
          <w:tcPr>
            <w:tcW w:w="32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3E26E2A" w14:textId="77777777" w:rsidR="004D1B51" w:rsidRPr="00A73DF6" w:rsidRDefault="006D3EDA" w:rsidP="004D1B51">
            <w:pPr>
              <w:cnfStyle w:val="000000100000" w:firstRow="0" w:lastRow="0" w:firstColumn="0" w:lastColumn="0" w:oddVBand="0" w:evenVBand="0" w:oddHBand="1" w:evenHBand="0" w:firstRowFirstColumn="0" w:firstRowLastColumn="0" w:lastRowFirstColumn="0" w:lastRowLastColumn="0"/>
            </w:pPr>
            <w:r w:rsidRPr="00462C13">
              <w:rPr>
                <w:rFonts w:cs="Tahoma"/>
                <w:b/>
                <w:bCs/>
                <w:szCs w:val="22"/>
              </w:rPr>
              <w:t xml:space="preserve">2023-2026: </w:t>
            </w:r>
            <w:r w:rsidRPr="00462C13">
              <w:rPr>
                <w:rFonts w:cs="Tahoma"/>
                <w:szCs w:val="22"/>
              </w:rPr>
              <w:t xml:space="preserve">100% </w:t>
            </w:r>
            <w:r w:rsidRPr="00462C13">
              <w:rPr>
                <w:rFonts w:cs="Tahoma"/>
                <w:szCs w:val="22"/>
              </w:rPr>
              <w:br/>
            </w:r>
            <w:r w:rsidRPr="00462C13">
              <w:rPr>
                <w:rFonts w:cs="Tahoma"/>
                <w:szCs w:val="22"/>
              </w:rPr>
              <w:br/>
            </w:r>
            <w:r w:rsidR="004D1B51" w:rsidRPr="00A73DF6">
              <w:rPr>
                <w:rFonts w:cs="Tahoma"/>
                <w:color w:val="000000"/>
                <w:szCs w:val="16"/>
              </w:rPr>
              <w:t>2023: 0,14%</w:t>
            </w:r>
          </w:p>
          <w:p w14:paraId="10A90D17" w14:textId="77777777" w:rsidR="004D1B51" w:rsidRPr="00A73DF6" w:rsidRDefault="004D1B51" w:rsidP="004D1B51">
            <w:pPr>
              <w:cnfStyle w:val="000000100000" w:firstRow="0" w:lastRow="0" w:firstColumn="0" w:lastColumn="0" w:oddVBand="0" w:evenVBand="0" w:oddHBand="1" w:evenHBand="0" w:firstRowFirstColumn="0" w:firstRowLastColumn="0" w:lastRowFirstColumn="0" w:lastRowLastColumn="0"/>
            </w:pPr>
            <w:r w:rsidRPr="00A73DF6">
              <w:rPr>
                <w:rFonts w:cs="Tahoma"/>
                <w:color w:val="000000"/>
                <w:szCs w:val="16"/>
              </w:rPr>
              <w:t>2024: 12,95%</w:t>
            </w:r>
          </w:p>
          <w:p w14:paraId="4067D7F0" w14:textId="77777777" w:rsidR="004D1B51" w:rsidRPr="00A73DF6" w:rsidRDefault="004D1B51" w:rsidP="004D1B51">
            <w:pPr>
              <w:cnfStyle w:val="000000100000" w:firstRow="0" w:lastRow="0" w:firstColumn="0" w:lastColumn="0" w:oddVBand="0" w:evenVBand="0" w:oddHBand="1" w:evenHBand="0" w:firstRowFirstColumn="0" w:firstRowLastColumn="0" w:lastRowFirstColumn="0" w:lastRowLastColumn="0"/>
            </w:pPr>
            <w:r w:rsidRPr="00A73DF6">
              <w:rPr>
                <w:rFonts w:cs="Tahoma"/>
                <w:color w:val="000000"/>
                <w:szCs w:val="16"/>
              </w:rPr>
              <w:t>2025: 39,24%</w:t>
            </w:r>
          </w:p>
          <w:p w14:paraId="6AD3EEF2" w14:textId="77777777" w:rsidR="004D1B51" w:rsidRPr="00A73DF6" w:rsidRDefault="004D1B51" w:rsidP="004D1B51">
            <w:pPr>
              <w:cnfStyle w:val="000000100000" w:firstRow="0" w:lastRow="0" w:firstColumn="0" w:lastColumn="0" w:oddVBand="0" w:evenVBand="0" w:oddHBand="1" w:evenHBand="0" w:firstRowFirstColumn="0" w:firstRowLastColumn="0" w:lastRowFirstColumn="0" w:lastRowLastColumn="0"/>
              <w:rPr>
                <w:rFonts w:cs="Tahoma"/>
                <w:color w:val="000000"/>
                <w:szCs w:val="16"/>
              </w:rPr>
            </w:pPr>
            <w:r w:rsidRPr="00A73DF6">
              <w:rPr>
                <w:rFonts w:cs="Tahoma"/>
                <w:color w:val="000000"/>
                <w:szCs w:val="16"/>
              </w:rPr>
              <w:t>2026: 100%</w:t>
            </w:r>
          </w:p>
          <w:p w14:paraId="381D5B91" w14:textId="5F82B52B"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b/>
                <w:bCs/>
              </w:rPr>
            </w:pPr>
          </w:p>
        </w:tc>
        <w:tc>
          <w:tcPr>
            <w:tcW w:w="17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94E9C8C" w14:textId="1A061360" w:rsidR="006D3EDA" w:rsidRPr="00193379" w:rsidRDefault="004D1B51" w:rsidP="005B79CC">
            <w:pPr>
              <w:jc w:val="center"/>
              <w:cnfStyle w:val="000000100000" w:firstRow="0" w:lastRow="0" w:firstColumn="0" w:lastColumn="0" w:oddVBand="0" w:evenVBand="0" w:oddHBand="1" w:evenHBand="0" w:firstRowFirstColumn="0" w:firstRowLastColumn="0" w:lastRowFirstColumn="0" w:lastRowLastColumn="0"/>
              <w:rPr>
                <w:rFonts w:cs="Tahoma"/>
              </w:rPr>
            </w:pPr>
            <w:r w:rsidRPr="00A73DF6">
              <w:rPr>
                <w:rFonts w:cs="Tahoma"/>
                <w:color w:val="000000"/>
                <w:szCs w:val="16"/>
              </w:rPr>
              <w:t>39,24%</w:t>
            </w:r>
          </w:p>
        </w:tc>
        <w:tc>
          <w:tcPr>
            <w:tcW w:w="2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7D87CA7" w14:textId="00C824FA" w:rsidR="006D3EDA" w:rsidRPr="004D1B51" w:rsidRDefault="00DD53E8" w:rsidP="005B79CC">
            <w:pPr>
              <w:jc w:val="center"/>
              <w:cnfStyle w:val="000000100000" w:firstRow="0" w:lastRow="0" w:firstColumn="0" w:lastColumn="0" w:oddVBand="0" w:evenVBand="0" w:oddHBand="1" w:evenHBand="0" w:firstRowFirstColumn="0" w:firstRowLastColumn="0" w:lastRowFirstColumn="0" w:lastRowLastColumn="0"/>
              <w:rPr>
                <w:rFonts w:cs="Tahoma"/>
                <w:highlight w:val="yellow"/>
              </w:rPr>
            </w:pPr>
            <w:r w:rsidRPr="00DD53E8">
              <w:rPr>
                <w:rFonts w:cs="Tahoma"/>
              </w:rPr>
              <w:t>37,03</w:t>
            </w:r>
            <w:r>
              <w:rPr>
                <w:rFonts w:cs="Tahoma"/>
              </w:rPr>
              <w:t>%</w:t>
            </w:r>
          </w:p>
        </w:tc>
        <w:tc>
          <w:tcPr>
            <w:tcW w:w="18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0732EBB0" w14:textId="0E352489" w:rsidR="006D3EDA" w:rsidRPr="004D1B51" w:rsidRDefault="006D3EDA" w:rsidP="005B79CC">
            <w:pPr>
              <w:cnfStyle w:val="000000100000" w:firstRow="0" w:lastRow="0" w:firstColumn="0" w:lastColumn="0" w:oddVBand="0" w:evenVBand="0" w:oddHBand="1" w:evenHBand="0" w:firstRowFirstColumn="0" w:firstRowLastColumn="0" w:lastRowFirstColumn="0" w:lastRowLastColumn="0"/>
              <w:rPr>
                <w:rFonts w:cs="Tahoma"/>
                <w:highlight w:val="yellow"/>
              </w:rPr>
            </w:pPr>
            <w:r w:rsidRPr="00DD53E8">
              <w:rPr>
                <w:rFonts w:cs="Tahoma"/>
              </w:rPr>
              <w:t>9</w:t>
            </w:r>
            <w:r w:rsidR="00DD53E8" w:rsidRPr="00DD53E8">
              <w:rPr>
                <w:rFonts w:cs="Tahoma"/>
              </w:rPr>
              <w:t>4</w:t>
            </w:r>
            <w:r w:rsidRPr="00DD53E8">
              <w:rPr>
                <w:rFonts w:cs="Tahoma"/>
              </w:rPr>
              <w:t>,</w:t>
            </w:r>
            <w:r w:rsidR="00DD53E8" w:rsidRPr="00DD53E8">
              <w:rPr>
                <w:rFonts w:cs="Tahoma"/>
              </w:rPr>
              <w:t>37</w:t>
            </w:r>
            <w:r w:rsidRPr="00DD53E8">
              <w:rPr>
                <w:rFonts w:cs="Tahoma"/>
              </w:rPr>
              <w:t>%</w:t>
            </w:r>
          </w:p>
        </w:tc>
        <w:tc>
          <w:tcPr>
            <w:tcW w:w="33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7886A52" w14:textId="70664BB8" w:rsidR="006D3EDA" w:rsidRPr="004D1B51" w:rsidRDefault="00D9285D"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D9285D">
              <w:rPr>
                <w:rFonts w:cs="Tahoma"/>
                <w:szCs w:val="16"/>
              </w:rPr>
              <w:t>7.956.049.950,06</w:t>
            </w:r>
          </w:p>
        </w:tc>
        <w:tc>
          <w:tcPr>
            <w:tcW w:w="33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763AC25" w14:textId="75100246" w:rsidR="006D3EDA" w:rsidRPr="004D1B51" w:rsidRDefault="004827BF"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4827BF">
              <w:rPr>
                <w:rFonts w:cs="Tahoma"/>
                <w:szCs w:val="16"/>
              </w:rPr>
              <w:t>6.632.801.673,79</w:t>
            </w:r>
          </w:p>
        </w:tc>
        <w:tc>
          <w:tcPr>
            <w:tcW w:w="32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5CFF7E9" w14:textId="364994E8" w:rsidR="006D3EDA" w:rsidRPr="004D1B51"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4827BF">
              <w:rPr>
                <w:rFonts w:cs="Tahoma"/>
                <w:b/>
                <w:szCs w:val="16"/>
              </w:rPr>
              <w:t>Sub ejecución:</w:t>
            </w:r>
            <w:r w:rsidRPr="004827BF">
              <w:rPr>
                <w:rFonts w:cs="Tahoma"/>
                <w:szCs w:val="16"/>
              </w:rPr>
              <w:t xml:space="preserve"> </w:t>
            </w:r>
            <w:r w:rsidR="004827BF" w:rsidRPr="004827BF">
              <w:rPr>
                <w:rFonts w:cs="Tahoma"/>
                <w:szCs w:val="16"/>
              </w:rPr>
              <w:t xml:space="preserve">El inicio de la etapa constructiva de los proyectos de diseño + construcción de CCP se atrasó debido a los trámites ante SETENA para otorgar los permisos ambientales, debido a esto la ejecución financiera tuvo </w:t>
            </w:r>
            <w:proofErr w:type="spellStart"/>
            <w:r w:rsidR="004827BF" w:rsidRPr="004827BF">
              <w:rPr>
                <w:rFonts w:cs="Tahoma"/>
                <w:szCs w:val="16"/>
              </w:rPr>
              <w:t>sub-ejecución</w:t>
            </w:r>
            <w:proofErr w:type="spellEnd"/>
            <w:r w:rsidR="004827BF" w:rsidRPr="004827BF">
              <w:rPr>
                <w:rFonts w:cs="Tahoma"/>
                <w:szCs w:val="16"/>
              </w:rPr>
              <w:t xml:space="preserve"> durante este periodo 2025.</w:t>
            </w:r>
          </w:p>
        </w:tc>
        <w:tc>
          <w:tcPr>
            <w:tcW w:w="262"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66671C6"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E02F20">
              <w:rPr>
                <w:rFonts w:cs="Tahoma"/>
                <w:szCs w:val="16"/>
              </w:rPr>
              <w:t>Unidad Ejecutora del Programa de Seguridad Ciudadana y Prevención de Violencia (UCPPSCPV). Ministerio de Justicia y Paz.</w:t>
            </w:r>
          </w:p>
        </w:tc>
        <w:tc>
          <w:tcPr>
            <w:tcW w:w="310" w:type="pct"/>
            <w:tcBorders>
              <w:top w:val="single" w:sz="12" w:space="0" w:color="FFFFFF"/>
              <w:left w:val="single" w:sz="12" w:space="0" w:color="FFFFFF"/>
              <w:bottom w:val="single" w:sz="12" w:space="0" w:color="FFFFFF"/>
              <w:right w:val="single" w:sz="12" w:space="0" w:color="FFFFFF"/>
            </w:tcBorders>
            <w:shd w:val="clear" w:color="auto" w:fill="92D050"/>
          </w:tcPr>
          <w:p w14:paraId="13278163"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b/>
                <w:szCs w:val="16"/>
              </w:rPr>
            </w:pPr>
            <w:r w:rsidRPr="00C43FB6">
              <w:rPr>
                <w:rFonts w:cs="Tahoma"/>
                <w:b/>
                <w:szCs w:val="16"/>
              </w:rPr>
              <w:t>Cumplimiento alto</w:t>
            </w:r>
          </w:p>
        </w:tc>
        <w:tc>
          <w:tcPr>
            <w:tcW w:w="188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ED5B21E"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663A97">
              <w:rPr>
                <w:rFonts w:cs="Tahoma"/>
                <w:b/>
                <w:szCs w:val="16"/>
              </w:rPr>
              <w:t xml:space="preserve">Avance actual: </w:t>
            </w:r>
          </w:p>
          <w:p w14:paraId="271F02F7" w14:textId="6333DC8D"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
                <w:szCs w:val="16"/>
              </w:rPr>
              <w:t>P2.3</w:t>
            </w:r>
            <w:r w:rsidRPr="00663A97">
              <w:rPr>
                <w:rFonts w:cs="Tahoma"/>
                <w:bCs/>
                <w:szCs w:val="16"/>
              </w:rPr>
              <w:t xml:space="preserve"> - Municipalidades y grupos de sociedad civil capacitados en prevención de violencia: 15 (0,29%)</w:t>
            </w:r>
          </w:p>
          <w:p w14:paraId="6BC17DF1" w14:textId="53A4B8C9"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
                <w:szCs w:val="16"/>
              </w:rPr>
              <w:t>P2.4</w:t>
            </w:r>
            <w:r w:rsidRPr="00663A97">
              <w:rPr>
                <w:rFonts w:cs="Tahoma"/>
                <w:bCs/>
                <w:szCs w:val="16"/>
              </w:rPr>
              <w:t xml:space="preserve"> - Estrategia de comunicación social de los CCP, diseñada e implementada: 1 (0,29%) </w:t>
            </w:r>
          </w:p>
          <w:p w14:paraId="790979F0" w14:textId="6A61BE1E"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
                <w:szCs w:val="16"/>
              </w:rPr>
              <w:t>P2.7</w:t>
            </w:r>
            <w:r w:rsidRPr="00663A97">
              <w:rPr>
                <w:rFonts w:cs="Tahoma"/>
                <w:bCs/>
                <w:szCs w:val="16"/>
              </w:rPr>
              <w:t xml:space="preserve"> - CCP diseñados, construidos, equipados y en funcionamiento: 3 (36,45%)</w:t>
            </w:r>
          </w:p>
          <w:p w14:paraId="79DA18AB" w14:textId="77777777" w:rsid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7B97E1E6" w14:textId="42C77B83"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663A97">
              <w:rPr>
                <w:rFonts w:cs="Tahoma"/>
                <w:b/>
                <w:szCs w:val="16"/>
              </w:rPr>
              <w:t>Logros del Proyecto 002685:</w:t>
            </w:r>
          </w:p>
          <w:p w14:paraId="0CC21C2F"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El avance reportado para el proyecto 002674 corresponde al cumplimiento de los productos P2.3 en el periodo 2025 y P2.4 en el periodo 2024. Además, para este periodo se avances en las siguientes acciones intermedias:</w:t>
            </w:r>
          </w:p>
          <w:p w14:paraId="0DBFF2A5"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17CC66EE"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
                <w:szCs w:val="16"/>
              </w:rPr>
              <w:t>P2.1</w:t>
            </w:r>
            <w:r w:rsidRPr="00663A97">
              <w:rPr>
                <w:rFonts w:cs="Tahoma"/>
                <w:bCs/>
                <w:szCs w:val="16"/>
              </w:rPr>
              <w:t xml:space="preserve"> – Modelo de atención de los CCP actualizado, fortalecido y en funcionamiento:</w:t>
            </w:r>
          </w:p>
          <w:p w14:paraId="17957AC6"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Se avanzó en una fase de consolidación del Modelo Preventivo de los CCP, mediante el análisis integrado de los insumos técnicos recopilados a lo largo del año y el desarrollo de borradores de herramientas de intervención dirigidas a poblaciones específicas. En este período se trabajó en el primer avance de herramientas para el trabajo con familias en situación de vulnerabilidad social, así como en la incorporación de contenidos y enfoques para la atención de población migrante. De manera complementaria, se fortaleció un nuevo enfoque de territorialidad y trabajo contextual, orientado a adaptar el Modelo Preventivo a las dinámicas y realidades de cada territorio.</w:t>
            </w:r>
          </w:p>
          <w:p w14:paraId="5C93CE40"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P2.2 – Modelo de gestión de los CCP homologado, fortalecido y en funcionamiento:</w:t>
            </w:r>
          </w:p>
          <w:p w14:paraId="2D5C62AA"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Se continua el avance en la construcción del Modelo de Gestión de los CCP, profundizando en la definición de procesos operativos, mecanismos de coordinación interinstitucional y herramientas de seguimiento, así como en la articulación del modelo con la actualización del Modelo Preventivo.</w:t>
            </w:r>
          </w:p>
          <w:p w14:paraId="4C41DF6F"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En relación con el Plan de Acción comprometido con MIDEPLAN, se registra un avance del 62% de las acciones completadas.</w:t>
            </w:r>
          </w:p>
          <w:p w14:paraId="162590B3"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Como complemento, se desarrolló un análisis jurídico que clarifica los alcances de la rectoría del Ministerio de Justicia y Paz en materia de prevención, estableciendo con mayor precisión sus competencias de coordinación, supervisión y requerimiento de información frente a las instituciones participantes, insumo clave para fortalecer la gobernanza del Modelo de Gestión.</w:t>
            </w:r>
          </w:p>
          <w:p w14:paraId="3A2CE1AB"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
                <w:szCs w:val="16"/>
              </w:rPr>
              <w:t>P2.3</w:t>
            </w:r>
            <w:r w:rsidRPr="00663A97">
              <w:rPr>
                <w:rFonts w:cs="Tahoma"/>
                <w:bCs/>
                <w:szCs w:val="16"/>
              </w:rPr>
              <w:t xml:space="preserve"> – Municipalidades y grupos de sociedad civil capacitados en prevención de violencia:</w:t>
            </w:r>
          </w:p>
          <w:p w14:paraId="66DA3143"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Se desarrollaron acciones formativas orientadas al fortalecimiento de competencias comunitarias en prevención de violencia y liderazgo participativo. Durante el último trimestre se concluyeron los tres módulos en las comunidades de San José, Liberia, Pérez Zeledón y Goicoechea, completando las 15 municipalidades y grupos de sociedad civil capacitados en prevención de violencia.</w:t>
            </w:r>
          </w:p>
          <w:p w14:paraId="5BA0D6DE"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
                <w:szCs w:val="16"/>
              </w:rPr>
              <w:t>P2.5</w:t>
            </w:r>
            <w:r w:rsidRPr="00663A97">
              <w:rPr>
                <w:rFonts w:cs="Tahoma"/>
                <w:bCs/>
                <w:szCs w:val="16"/>
              </w:rPr>
              <w:t xml:space="preserve"> – Sistema de información integrado de los CCP, desarrollado e implementado:</w:t>
            </w:r>
          </w:p>
          <w:p w14:paraId="445FE255"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 xml:space="preserve">En este periodo se recibió la entrega del código correspondiente a la actualización del sistema por parte de la empresa </w:t>
            </w:r>
            <w:proofErr w:type="spellStart"/>
            <w:r w:rsidRPr="00663A97">
              <w:rPr>
                <w:rFonts w:cs="Tahoma"/>
                <w:bCs/>
                <w:szCs w:val="16"/>
              </w:rPr>
              <w:t>Addax</w:t>
            </w:r>
            <w:proofErr w:type="spellEnd"/>
            <w:r w:rsidRPr="00663A97">
              <w:rPr>
                <w:rFonts w:cs="Tahoma"/>
                <w:bCs/>
                <w:szCs w:val="16"/>
              </w:rPr>
              <w:t xml:space="preserve"> Software </w:t>
            </w:r>
            <w:proofErr w:type="spellStart"/>
            <w:r w:rsidRPr="00663A97">
              <w:rPr>
                <w:rFonts w:cs="Tahoma"/>
                <w:bCs/>
                <w:szCs w:val="16"/>
              </w:rPr>
              <w:t>Development</w:t>
            </w:r>
            <w:proofErr w:type="spellEnd"/>
            <w:r w:rsidRPr="00663A97">
              <w:rPr>
                <w:rFonts w:cs="Tahoma"/>
                <w:bCs/>
                <w:szCs w:val="16"/>
              </w:rPr>
              <w:t xml:space="preserve"> S.A., marcando el cierre de la fase de desarrollo para iniciar la etapa de para el despliegue en la infraestructura institucional, realizar prueba de usuarios finales y realizar la capacitación correspondiente.</w:t>
            </w:r>
          </w:p>
          <w:p w14:paraId="2D7AAEFF" w14:textId="77777777" w:rsid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lastRenderedPageBreak/>
              <w:t>Impacto logrado: Dinamización comunitaria y capacitación en temas específicos, incluyendo un enfoque de violencia basada en género y trabajo con las masculinidades, inclusión y diversidad en las quince comunidades beneficiadas. Desarrollo de acciones de comunicación y difusión de las actividades de los CCP.</w:t>
            </w:r>
          </w:p>
          <w:p w14:paraId="4A550B3A"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5698377D"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663A97">
              <w:rPr>
                <w:rFonts w:cs="Tahoma"/>
                <w:b/>
                <w:szCs w:val="16"/>
              </w:rPr>
              <w:t>Logros del Proyecto 002684:</w:t>
            </w:r>
          </w:p>
          <w:p w14:paraId="2895A1DC"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Región Pacífico Central:</w:t>
            </w:r>
          </w:p>
          <w:p w14:paraId="0F6F3A89" w14:textId="02A23BF2" w:rsidR="00663A97" w:rsidRPr="00663A97" w:rsidRDefault="00663A97" w:rsidP="00663A97">
            <w:pPr>
              <w:pStyle w:val="Prrafodelista"/>
              <w:numPr>
                <w:ilvl w:val="0"/>
                <w:numId w:val="31"/>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CCP Puntarenas: Centro cívico inaugurado y en operación desde mayo de 2025.</w:t>
            </w:r>
          </w:p>
          <w:p w14:paraId="1C2B7FC1"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3925436E"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Región Brunca:</w:t>
            </w:r>
          </w:p>
          <w:p w14:paraId="6598AC80" w14:textId="26D0BDF9" w:rsidR="00663A97" w:rsidRPr="00663A97" w:rsidRDefault="00663A97" w:rsidP="00663A97">
            <w:pPr>
              <w:pStyle w:val="Prrafodelista"/>
              <w:numPr>
                <w:ilvl w:val="0"/>
                <w:numId w:val="31"/>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CCP Corredores: Centro cívico inaugurado y en operación desde noviembre de 2024.</w:t>
            </w:r>
          </w:p>
          <w:p w14:paraId="2D1E86AA" w14:textId="030CC98D" w:rsidR="00663A97" w:rsidRPr="00663A97" w:rsidRDefault="00663A97" w:rsidP="00663A97">
            <w:pPr>
              <w:pStyle w:val="Prrafodelista"/>
              <w:numPr>
                <w:ilvl w:val="0"/>
                <w:numId w:val="31"/>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CCP Pérez Zeledón: Finalizada etapa de diseño, en trámite permisos para inicio constructivo.</w:t>
            </w:r>
          </w:p>
          <w:p w14:paraId="45F7151E"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0720EB46"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Región Huetar Caribe:</w:t>
            </w:r>
          </w:p>
          <w:p w14:paraId="14EE82CC" w14:textId="0A1A6169" w:rsid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CCP Limón: Centro cívico inaugurado y en operación desde octubre de 2025.</w:t>
            </w:r>
          </w:p>
          <w:p w14:paraId="74EFB9CD"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1D1C7F96"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Gran Área Metropolitana (GAM):</w:t>
            </w:r>
          </w:p>
          <w:p w14:paraId="69576F29" w14:textId="48234EAB" w:rsidR="00663A97" w:rsidRPr="00663A97" w:rsidRDefault="00663A97" w:rsidP="00663A97">
            <w:pPr>
              <w:pStyle w:val="Prrafodelista"/>
              <w:numPr>
                <w:ilvl w:val="0"/>
                <w:numId w:val="32"/>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CCP Alajuela: En etapa constructiva (Avance 99%).</w:t>
            </w:r>
          </w:p>
          <w:p w14:paraId="5A5077A5" w14:textId="15AEF3B0" w:rsidR="00663A97" w:rsidRPr="00663A97" w:rsidRDefault="00663A97" w:rsidP="00663A97">
            <w:pPr>
              <w:pStyle w:val="Prrafodelista"/>
              <w:numPr>
                <w:ilvl w:val="0"/>
                <w:numId w:val="32"/>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CCP Goicoechea: Finalizada etapa de diseño, en trámite permisos para inicio constructivo.</w:t>
            </w:r>
          </w:p>
          <w:p w14:paraId="5C0AE987" w14:textId="424341E9" w:rsidR="00663A97" w:rsidRPr="00663A97" w:rsidRDefault="00663A97" w:rsidP="00663A97">
            <w:pPr>
              <w:pStyle w:val="Prrafodelista"/>
              <w:numPr>
                <w:ilvl w:val="0"/>
                <w:numId w:val="32"/>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CCP San José: Finalizada etapa de diseño, en trámite permisos para inicio constructivo.</w:t>
            </w:r>
          </w:p>
          <w:p w14:paraId="41EC063C"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29ADD229" w14:textId="77777777" w:rsidR="00663A97"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Región Chorotega:</w:t>
            </w:r>
          </w:p>
          <w:p w14:paraId="0C643AE0" w14:textId="29D77141" w:rsidR="00663A97" w:rsidRPr="00663A97" w:rsidRDefault="00663A97" w:rsidP="00663A97">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Cs/>
                <w:szCs w:val="16"/>
              </w:rPr>
              <w:t>CCP Liberia: En trámite permisos para inicio constructivo.</w:t>
            </w:r>
          </w:p>
          <w:p w14:paraId="029CDB79" w14:textId="77777777" w:rsid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2F0AE4C1" w14:textId="49209910" w:rsidR="006D3EDA" w:rsidRPr="00663A97" w:rsidRDefault="00663A97" w:rsidP="00663A97">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663A97">
              <w:rPr>
                <w:rFonts w:cs="Tahoma"/>
                <w:b/>
                <w:szCs w:val="16"/>
              </w:rPr>
              <w:t>Impacto logrado:</w:t>
            </w:r>
            <w:r w:rsidRPr="00663A97">
              <w:rPr>
                <w:rFonts w:cs="Tahoma"/>
                <w:bCs/>
                <w:szCs w:val="16"/>
              </w:rPr>
              <w:t xml:space="preserve"> Las comunidades de Corredores, Puntarenas y Limón cuentan con un espacio seguro y adecuado para promover el desarrollo integral de la población juvenil.</w:t>
            </w:r>
          </w:p>
        </w:tc>
      </w:tr>
    </w:tbl>
    <w:p w14:paraId="60E2278F" w14:textId="4AFC9602" w:rsidR="006D3EDA" w:rsidRPr="00462C13" w:rsidRDefault="006D3EDA" w:rsidP="006D3EDA">
      <w:pPr>
        <w:spacing w:after="0" w:line="240" w:lineRule="auto"/>
        <w:ind w:left="426" w:hanging="360"/>
        <w:rPr>
          <w:rFonts w:cs="Tahoma"/>
          <w:szCs w:val="20"/>
        </w:rPr>
      </w:pPr>
      <w:r w:rsidRPr="00462C13">
        <w:rPr>
          <w:rFonts w:cs="Tahoma"/>
          <w:szCs w:val="20"/>
        </w:rPr>
        <w:lastRenderedPageBreak/>
        <w:t>Fuente: Unidad Ejecutora del Programa de Seguridad Ciudadana y Prevención de Violencia (UCPPSCPV), Ministerio de Justicia y Paz, 202</w:t>
      </w:r>
      <w:r w:rsidR="008A31D0">
        <w:rPr>
          <w:rFonts w:cs="Tahoma"/>
          <w:szCs w:val="20"/>
        </w:rPr>
        <w:t>6</w:t>
      </w:r>
      <w:r w:rsidRPr="00462C13">
        <w:rPr>
          <w:rFonts w:cs="Tahoma"/>
          <w:szCs w:val="20"/>
        </w:rPr>
        <w:t>.</w:t>
      </w:r>
    </w:p>
    <w:p w14:paraId="32785388" w14:textId="77777777" w:rsidR="006D3EDA" w:rsidRDefault="006D3EDA" w:rsidP="006D3EDA">
      <w:pPr>
        <w:pStyle w:val="Default"/>
        <w:rPr>
          <w:rFonts w:ascii="Tahoma" w:eastAsia="Arial Narrow" w:hAnsi="Tahoma" w:cs="Tahoma"/>
          <w:sz w:val="16"/>
        </w:rPr>
      </w:pPr>
    </w:p>
    <w:tbl>
      <w:tblPr>
        <w:tblStyle w:val="Tablaclsica3"/>
        <w:tblW w:w="5000" w:type="pct"/>
        <w:jc w:val="center"/>
        <w:tblLayout w:type="fixed"/>
        <w:tblLook w:val="04A0" w:firstRow="1" w:lastRow="0" w:firstColumn="1" w:lastColumn="0" w:noHBand="0" w:noVBand="1"/>
      </w:tblPr>
      <w:tblGrid>
        <w:gridCol w:w="1542"/>
        <w:gridCol w:w="1561"/>
        <w:gridCol w:w="994"/>
        <w:gridCol w:w="852"/>
        <w:gridCol w:w="990"/>
        <w:gridCol w:w="990"/>
        <w:gridCol w:w="1418"/>
        <w:gridCol w:w="1275"/>
        <w:gridCol w:w="1280"/>
        <w:gridCol w:w="1275"/>
        <w:gridCol w:w="1414"/>
        <w:gridCol w:w="8023"/>
      </w:tblGrid>
      <w:tr w:rsidR="006D3EDA" w:rsidRPr="00462C13" w14:paraId="69909457" w14:textId="77777777" w:rsidTr="006172B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57" w:type="pct"/>
            <w:vMerge w:val="restart"/>
            <w:tcBorders>
              <w:top w:val="single" w:sz="12" w:space="0" w:color="FFFFFF"/>
              <w:left w:val="single" w:sz="12" w:space="0" w:color="FFFFFF"/>
              <w:bottom w:val="single" w:sz="12" w:space="0" w:color="FFFFFF"/>
              <w:right w:val="single" w:sz="12" w:space="0" w:color="FFFFFF"/>
            </w:tcBorders>
            <w:shd w:val="clear" w:color="auto" w:fill="003A70"/>
          </w:tcPr>
          <w:p w14:paraId="4D2968FD" w14:textId="77777777" w:rsidR="006D3EDA" w:rsidRPr="00462C13" w:rsidRDefault="006D3EDA" w:rsidP="005B79CC">
            <w:pPr>
              <w:rPr>
                <w:rFonts w:eastAsia="Arial Unicode MS" w:cs="Tahoma"/>
                <w:szCs w:val="16"/>
                <w:bdr w:val="none" w:sz="0" w:space="0" w:color="auto" w:frame="1"/>
              </w:rPr>
            </w:pPr>
            <w:r w:rsidRPr="00462C13">
              <w:rPr>
                <w:rFonts w:eastAsia="Arial Unicode MS" w:cs="Tahoma"/>
                <w:szCs w:val="16"/>
                <w:bdr w:val="none" w:sz="0" w:space="0" w:color="auto" w:frame="1"/>
              </w:rPr>
              <w:t xml:space="preserve">Objetivo </w:t>
            </w:r>
          </w:p>
        </w:tc>
        <w:tc>
          <w:tcPr>
            <w:tcW w:w="591" w:type="pct"/>
            <w:gridSpan w:val="2"/>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48AD90EB"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xml:space="preserve">Programación </w:t>
            </w:r>
          </w:p>
          <w:p w14:paraId="459D6D8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PNDIP 2023-2026</w:t>
            </w:r>
          </w:p>
        </w:tc>
        <w:tc>
          <w:tcPr>
            <w:tcW w:w="4052" w:type="pct"/>
            <w:gridSpan w:val="9"/>
            <w:tcBorders>
              <w:top w:val="single" w:sz="12" w:space="0" w:color="FFFFFF"/>
              <w:left w:val="single" w:sz="12" w:space="0" w:color="FFFFFF"/>
              <w:bottom w:val="single" w:sz="12" w:space="0" w:color="FFFFFF"/>
              <w:right w:val="single" w:sz="12" w:space="0" w:color="FFFFFF"/>
            </w:tcBorders>
            <w:shd w:val="clear" w:color="auto" w:fill="003A70"/>
          </w:tcPr>
          <w:p w14:paraId="437E9114" w14:textId="53FC63FA"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224BD7">
              <w:rPr>
                <w:rFonts w:eastAsia="Arial Unicode MS" w:cs="Tahoma"/>
                <w:szCs w:val="16"/>
                <w:bdr w:val="none" w:sz="0" w:space="0" w:color="auto" w:frame="1"/>
              </w:rPr>
              <w:t xml:space="preserve">Seguimiento </w:t>
            </w:r>
            <w:r>
              <w:rPr>
                <w:rFonts w:eastAsia="Arial Unicode MS" w:cs="Tahoma"/>
                <w:szCs w:val="16"/>
                <w:bdr w:val="none" w:sz="0" w:space="0" w:color="auto" w:frame="1"/>
              </w:rPr>
              <w:t xml:space="preserve">Anual </w:t>
            </w:r>
            <w:r w:rsidRPr="00224BD7">
              <w:rPr>
                <w:rFonts w:eastAsia="Arial Unicode MS" w:cs="Tahoma"/>
                <w:szCs w:val="16"/>
                <w:bdr w:val="none" w:sz="0" w:space="0" w:color="auto" w:frame="1"/>
              </w:rPr>
              <w:t>202</w:t>
            </w:r>
            <w:r w:rsidR="004B4F07">
              <w:rPr>
                <w:rFonts w:eastAsia="Arial Unicode MS" w:cs="Tahoma"/>
                <w:szCs w:val="16"/>
                <w:bdr w:val="none" w:sz="0" w:space="0" w:color="auto" w:frame="1"/>
              </w:rPr>
              <w:t>5</w:t>
            </w:r>
          </w:p>
        </w:tc>
      </w:tr>
      <w:tr w:rsidR="006172B7" w:rsidRPr="00462C13" w14:paraId="4EECB62C" w14:textId="77777777" w:rsidTr="006172B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57" w:type="pct"/>
            <w:vMerge/>
            <w:tcBorders>
              <w:top w:val="single" w:sz="12" w:space="0" w:color="FFFFFF"/>
              <w:left w:val="single" w:sz="12" w:space="0" w:color="FFFFFF"/>
              <w:bottom w:val="single" w:sz="12" w:space="0" w:color="FFFFFF"/>
              <w:right w:val="single" w:sz="12" w:space="0" w:color="FFFFFF"/>
            </w:tcBorders>
            <w:shd w:val="clear" w:color="auto" w:fill="003A70"/>
            <w:hideMark/>
          </w:tcPr>
          <w:p w14:paraId="6A97B2E8" w14:textId="77777777" w:rsidR="006D3EDA" w:rsidRPr="00462C13" w:rsidRDefault="006D3EDA" w:rsidP="005B79CC">
            <w:pPr>
              <w:rPr>
                <w:rFonts w:eastAsia="Arial Unicode MS" w:cs="Tahoma"/>
                <w:szCs w:val="16"/>
                <w:bdr w:val="none" w:sz="0" w:space="0" w:color="auto" w:frame="1"/>
              </w:rPr>
            </w:pPr>
          </w:p>
        </w:tc>
        <w:tc>
          <w:tcPr>
            <w:tcW w:w="591" w:type="pct"/>
            <w:gridSpan w:val="2"/>
            <w:vMerge/>
            <w:tcBorders>
              <w:top w:val="single" w:sz="12" w:space="0" w:color="FFFFFF"/>
              <w:left w:val="single" w:sz="12" w:space="0" w:color="FFFFFF"/>
              <w:bottom w:val="single" w:sz="12" w:space="0" w:color="FFFFFF"/>
              <w:right w:val="single" w:sz="12" w:space="0" w:color="FFFFFF"/>
            </w:tcBorders>
            <w:shd w:val="clear" w:color="auto" w:fill="003A70"/>
            <w:hideMark/>
          </w:tcPr>
          <w:p w14:paraId="58B75E4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97" w:type="pct"/>
            <w:vMerge w:val="restart"/>
            <w:tcBorders>
              <w:top w:val="single" w:sz="12" w:space="0" w:color="FFFFFF"/>
              <w:left w:val="single" w:sz="12" w:space="0" w:color="FFFFFF"/>
              <w:right w:val="single" w:sz="12" w:space="0" w:color="FFFFFF"/>
            </w:tcBorders>
            <w:shd w:val="clear" w:color="auto" w:fill="003A70"/>
            <w:hideMark/>
          </w:tcPr>
          <w:p w14:paraId="0DA978A8"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Meta Anual</w:t>
            </w:r>
          </w:p>
        </w:tc>
        <w:tc>
          <w:tcPr>
            <w:tcW w:w="229"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39867FDA"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Absoluto</w:t>
            </w:r>
          </w:p>
        </w:tc>
        <w:tc>
          <w:tcPr>
            <w:tcW w:w="229" w:type="pct"/>
            <w:vMerge w:val="restart"/>
            <w:tcBorders>
              <w:top w:val="single" w:sz="12" w:space="0" w:color="FFFFFF"/>
              <w:left w:val="single" w:sz="12" w:space="0" w:color="FFFFFF"/>
              <w:right w:val="single" w:sz="12" w:space="0" w:color="FFFFFF"/>
            </w:tcBorders>
            <w:shd w:val="clear" w:color="auto" w:fill="003A70"/>
            <w:hideMark/>
          </w:tcPr>
          <w:p w14:paraId="77E39839"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de avance</w:t>
            </w:r>
          </w:p>
        </w:tc>
        <w:tc>
          <w:tcPr>
            <w:tcW w:w="919" w:type="pct"/>
            <w:gridSpan w:val="3"/>
            <w:tcBorders>
              <w:top w:val="single" w:sz="12" w:space="0" w:color="FFFFFF"/>
              <w:left w:val="single" w:sz="12" w:space="0" w:color="FFFFFF"/>
              <w:bottom w:val="single" w:sz="4" w:space="0" w:color="auto"/>
              <w:right w:val="single" w:sz="12" w:space="0" w:color="FFFFFF"/>
            </w:tcBorders>
            <w:shd w:val="clear" w:color="auto" w:fill="003A70"/>
          </w:tcPr>
          <w:p w14:paraId="7153AE3A" w14:textId="172674BA"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Presupuesto 202</w:t>
            </w:r>
            <w:r w:rsidR="004B4F07">
              <w:rPr>
                <w:rFonts w:eastAsia="Arial Unicode MS" w:cs="Tahoma"/>
                <w:szCs w:val="16"/>
                <w:bdr w:val="none" w:sz="0" w:space="0" w:color="auto" w:frame="1"/>
              </w:rPr>
              <w:t>5</w:t>
            </w:r>
          </w:p>
        </w:tc>
        <w:tc>
          <w:tcPr>
            <w:tcW w:w="295" w:type="pct"/>
            <w:vMerge w:val="restart"/>
            <w:tcBorders>
              <w:top w:val="single" w:sz="12" w:space="0" w:color="FFFFFF"/>
              <w:left w:val="single" w:sz="12" w:space="0" w:color="FFFFFF"/>
              <w:right w:val="single" w:sz="12" w:space="0" w:color="FFFFFF"/>
            </w:tcBorders>
            <w:shd w:val="clear" w:color="auto" w:fill="003A70"/>
          </w:tcPr>
          <w:p w14:paraId="324FDA16"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Responsable</w:t>
            </w:r>
          </w:p>
        </w:tc>
        <w:tc>
          <w:tcPr>
            <w:tcW w:w="327"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3C6E50F0"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BF3111">
              <w:rPr>
                <w:rFonts w:eastAsia="Arial Unicode MS" w:cs="Tahoma"/>
                <w:szCs w:val="16"/>
                <w:bdr w:val="none" w:sz="0" w:space="0" w:color="auto" w:frame="1"/>
              </w:rPr>
              <w:t>Clasificación de cumplimiento</w:t>
            </w:r>
          </w:p>
        </w:tc>
        <w:tc>
          <w:tcPr>
            <w:tcW w:w="1856"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6F23E3F2"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vertAlign w:val="superscript"/>
              </w:rPr>
            </w:pPr>
            <w:r w:rsidRPr="007B087D">
              <w:rPr>
                <w:rFonts w:eastAsia="Arial Unicode MS" w:cs="Tahoma"/>
                <w:sz w:val="24"/>
                <w:szCs w:val="16"/>
                <w:bdr w:val="none" w:sz="0" w:space="0" w:color="auto" w:frame="1"/>
              </w:rPr>
              <w:t xml:space="preserve">Logros </w:t>
            </w:r>
          </w:p>
        </w:tc>
      </w:tr>
      <w:tr w:rsidR="006172B7" w:rsidRPr="00462C13" w14:paraId="32810A2F" w14:textId="77777777" w:rsidTr="006172B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57" w:type="pct"/>
            <w:vMerge/>
            <w:tcBorders>
              <w:top w:val="single" w:sz="12" w:space="0" w:color="FFFFFF"/>
              <w:left w:val="single" w:sz="12" w:space="0" w:color="FFFFFF"/>
              <w:bottom w:val="single" w:sz="12" w:space="0" w:color="FFFFFF"/>
              <w:right w:val="single" w:sz="12" w:space="0" w:color="FFFFFF"/>
            </w:tcBorders>
            <w:hideMark/>
          </w:tcPr>
          <w:p w14:paraId="6A15882E" w14:textId="77777777" w:rsidR="006D3EDA" w:rsidRPr="00462C13" w:rsidRDefault="006D3EDA" w:rsidP="005B79CC">
            <w:pPr>
              <w:rPr>
                <w:rFonts w:eastAsia="Arial Unicode MS" w:cs="Tahoma"/>
                <w:szCs w:val="16"/>
                <w:bdr w:val="none" w:sz="0" w:space="0" w:color="auto" w:frame="1"/>
              </w:rPr>
            </w:pPr>
          </w:p>
        </w:tc>
        <w:tc>
          <w:tcPr>
            <w:tcW w:w="361" w:type="pct"/>
            <w:tcBorders>
              <w:top w:val="single" w:sz="12" w:space="0" w:color="FFFFFF"/>
              <w:left w:val="single" w:sz="12" w:space="0" w:color="FFFFFF"/>
              <w:bottom w:val="single" w:sz="12" w:space="0" w:color="FFFFFF"/>
              <w:right w:val="single" w:sz="12" w:space="0" w:color="FFFFFF"/>
            </w:tcBorders>
            <w:shd w:val="clear" w:color="auto" w:fill="003A70"/>
            <w:hideMark/>
          </w:tcPr>
          <w:p w14:paraId="57163084"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Indicadores</w:t>
            </w:r>
          </w:p>
        </w:tc>
        <w:tc>
          <w:tcPr>
            <w:tcW w:w="230" w:type="pct"/>
            <w:tcBorders>
              <w:top w:val="single" w:sz="12" w:space="0" w:color="FFFFFF"/>
              <w:left w:val="single" w:sz="12" w:space="0" w:color="FFFFFF"/>
              <w:bottom w:val="single" w:sz="12" w:space="0" w:color="FFFFFF"/>
              <w:right w:val="single" w:sz="12" w:space="0" w:color="FFFFFF"/>
            </w:tcBorders>
            <w:shd w:val="clear" w:color="auto" w:fill="003A70"/>
            <w:hideMark/>
          </w:tcPr>
          <w:p w14:paraId="09500FB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 xml:space="preserve">Metas Periodo </w:t>
            </w:r>
          </w:p>
        </w:tc>
        <w:tc>
          <w:tcPr>
            <w:tcW w:w="197" w:type="pct"/>
            <w:vMerge/>
            <w:tcBorders>
              <w:left w:val="single" w:sz="12" w:space="0" w:color="FFFFFF"/>
              <w:bottom w:val="single" w:sz="12" w:space="0" w:color="FFFFFF"/>
              <w:right w:val="single" w:sz="12" w:space="0" w:color="FFFFFF"/>
            </w:tcBorders>
            <w:hideMark/>
          </w:tcPr>
          <w:p w14:paraId="5F76EE0A"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29" w:type="pct"/>
            <w:vMerge/>
            <w:tcBorders>
              <w:top w:val="single" w:sz="12" w:space="0" w:color="FFFFFF"/>
              <w:left w:val="single" w:sz="12" w:space="0" w:color="FFFFFF"/>
              <w:bottom w:val="single" w:sz="12" w:space="0" w:color="FFFFFF"/>
              <w:right w:val="single" w:sz="12" w:space="0" w:color="FFFFFF"/>
            </w:tcBorders>
            <w:shd w:val="clear" w:color="auto" w:fill="003366"/>
            <w:hideMark/>
          </w:tcPr>
          <w:p w14:paraId="7096CF52"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29" w:type="pct"/>
            <w:vMerge/>
            <w:tcBorders>
              <w:left w:val="single" w:sz="12" w:space="0" w:color="FFFFFF"/>
              <w:bottom w:val="single" w:sz="12" w:space="0" w:color="FFFFFF"/>
              <w:right w:val="single" w:sz="12" w:space="0" w:color="FFFFFF"/>
            </w:tcBorders>
            <w:hideMark/>
          </w:tcPr>
          <w:p w14:paraId="649C66E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28" w:type="pct"/>
            <w:tcBorders>
              <w:left w:val="single" w:sz="12" w:space="0" w:color="FFFFFF"/>
              <w:bottom w:val="single" w:sz="12" w:space="0" w:color="FFFFFF"/>
              <w:right w:val="single" w:sz="12" w:space="0" w:color="FFFFFF"/>
            </w:tcBorders>
            <w:shd w:val="clear" w:color="auto" w:fill="003A70"/>
          </w:tcPr>
          <w:p w14:paraId="5F23F418"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rPr>
            </w:pPr>
            <w:r w:rsidRPr="00650798">
              <w:rPr>
                <w:rFonts w:ascii="Arial" w:eastAsia="Arial Unicode MS" w:hAnsi="Arial" w:cs="Arial"/>
                <w:color w:val="auto"/>
                <w:szCs w:val="12"/>
                <w:bdr w:val="none" w:sz="0" w:space="0" w:color="auto" w:frame="1"/>
                <w:lang w:eastAsia="en-US"/>
              </w:rPr>
              <w:t>Presupuesto programado</w:t>
            </w:r>
          </w:p>
        </w:tc>
        <w:tc>
          <w:tcPr>
            <w:tcW w:w="295" w:type="pct"/>
            <w:tcBorders>
              <w:left w:val="single" w:sz="12" w:space="0" w:color="FFFFFF"/>
              <w:bottom w:val="single" w:sz="12" w:space="0" w:color="FFFFFF"/>
              <w:right w:val="single" w:sz="12" w:space="0" w:color="FFFFFF"/>
            </w:tcBorders>
            <w:shd w:val="clear" w:color="auto" w:fill="003A70"/>
          </w:tcPr>
          <w:p w14:paraId="0158309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Monto ejecutado</w:t>
            </w:r>
          </w:p>
        </w:tc>
        <w:tc>
          <w:tcPr>
            <w:tcW w:w="296" w:type="pct"/>
            <w:tcBorders>
              <w:left w:val="single" w:sz="12" w:space="0" w:color="FFFFFF"/>
              <w:bottom w:val="single" w:sz="12" w:space="0" w:color="FFFFFF"/>
              <w:right w:val="single" w:sz="12" w:space="0" w:color="FFFFFF"/>
            </w:tcBorders>
            <w:shd w:val="clear" w:color="auto" w:fill="003A70"/>
          </w:tcPr>
          <w:p w14:paraId="2F4BB0BF"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Información cualitativa</w:t>
            </w:r>
          </w:p>
        </w:tc>
        <w:tc>
          <w:tcPr>
            <w:tcW w:w="295" w:type="pct"/>
            <w:vMerge/>
            <w:tcBorders>
              <w:left w:val="single" w:sz="12" w:space="0" w:color="FFFFFF"/>
              <w:bottom w:val="single" w:sz="12" w:space="0" w:color="FFFFFF"/>
              <w:right w:val="single" w:sz="12" w:space="0" w:color="FFFFFF"/>
            </w:tcBorders>
          </w:tcPr>
          <w:p w14:paraId="05C85E37"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27" w:type="pct"/>
            <w:vMerge/>
            <w:tcBorders>
              <w:top w:val="single" w:sz="12" w:space="0" w:color="FFFFFF"/>
              <w:left w:val="single" w:sz="12" w:space="0" w:color="FFFFFF"/>
              <w:bottom w:val="single" w:sz="12" w:space="0" w:color="FFFFFF"/>
              <w:right w:val="single" w:sz="12" w:space="0" w:color="FFFFFF"/>
            </w:tcBorders>
            <w:hideMark/>
          </w:tcPr>
          <w:p w14:paraId="72D3264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856" w:type="pct"/>
            <w:vMerge/>
            <w:tcBorders>
              <w:top w:val="single" w:sz="12" w:space="0" w:color="FFFFFF"/>
              <w:left w:val="single" w:sz="12" w:space="0" w:color="FFFFFF"/>
              <w:bottom w:val="single" w:sz="12" w:space="0" w:color="FFFFFF"/>
              <w:right w:val="single" w:sz="12" w:space="0" w:color="FFFFFF"/>
            </w:tcBorders>
            <w:hideMark/>
          </w:tcPr>
          <w:p w14:paraId="296F6BA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vertAlign w:val="superscript"/>
              </w:rPr>
            </w:pPr>
          </w:p>
        </w:tc>
      </w:tr>
      <w:tr w:rsidR="006172B7" w:rsidRPr="00462C13" w14:paraId="674BDD62" w14:textId="77777777" w:rsidTr="006172B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B7068DF" w14:textId="77777777" w:rsidR="006D3EDA" w:rsidRPr="00462C13" w:rsidRDefault="006D3EDA" w:rsidP="005B79CC">
            <w:pPr>
              <w:jc w:val="both"/>
              <w:rPr>
                <w:rFonts w:cs="Tahoma"/>
                <w:szCs w:val="16"/>
              </w:rPr>
            </w:pPr>
            <w:r w:rsidRPr="00462C13">
              <w:rPr>
                <w:rFonts w:cs="Tahoma"/>
                <w:b/>
                <w:szCs w:val="16"/>
              </w:rPr>
              <w:t>2.2.</w:t>
            </w:r>
            <w:r w:rsidRPr="00462C13">
              <w:rPr>
                <w:rFonts w:cs="Tahoma"/>
                <w:szCs w:val="16"/>
              </w:rPr>
              <w:t xml:space="preserve"> Gestionar los programas integrales de prevención de violencia del modelo de Centros Cívicos por la Paz, en coordinación con otras instituciones del Gobierno Central, los Municipios y otros actores, para el fortalecimiento de la Seguridad Ciudadana y Prevención de Violencia.</w:t>
            </w:r>
          </w:p>
        </w:tc>
        <w:tc>
          <w:tcPr>
            <w:tcW w:w="361"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273E48A" w14:textId="77777777" w:rsidR="006D3EDA"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szCs w:val="16"/>
              </w:rPr>
              <w:t>A.2.2.1</w:t>
            </w:r>
            <w:r w:rsidRPr="00462C13">
              <w:rPr>
                <w:rFonts w:cs="Tahoma"/>
                <w:szCs w:val="16"/>
              </w:rPr>
              <w:t xml:space="preserve"> </w:t>
            </w:r>
            <w:r w:rsidRPr="00E02F20">
              <w:rPr>
                <w:rFonts w:cs="Tahoma"/>
                <w:szCs w:val="16"/>
              </w:rPr>
              <w:t>Porcentaje de personas entre los 10 y 17 años de edad que concluyen programas de formación integral articulados interinstitucionalmente en los Centros Cívicos por la Paz</w:t>
            </w:r>
            <w:r w:rsidRPr="00462C13">
              <w:rPr>
                <w:rFonts w:cs="Tahoma"/>
                <w:szCs w:val="16"/>
              </w:rPr>
              <w:t>.</w:t>
            </w:r>
          </w:p>
          <w:p w14:paraId="73135E71" w14:textId="77777777" w:rsidR="006D3EDA"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p>
          <w:p w14:paraId="491B0CDC" w14:textId="06785A04" w:rsidR="006D3EDA" w:rsidRPr="00462C13"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p>
        </w:tc>
        <w:tc>
          <w:tcPr>
            <w:tcW w:w="23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DC93ED9"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szCs w:val="16"/>
              </w:rPr>
              <w:t xml:space="preserve">2023-2026: </w:t>
            </w:r>
            <w:r w:rsidRPr="00462C13">
              <w:rPr>
                <w:rFonts w:cs="Tahoma"/>
                <w:szCs w:val="16"/>
              </w:rPr>
              <w:t xml:space="preserve">65% </w:t>
            </w:r>
          </w:p>
          <w:p w14:paraId="1C7CC607"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p>
          <w:p w14:paraId="79C5C10C"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 xml:space="preserve">2023: 65%   </w:t>
            </w:r>
          </w:p>
          <w:p w14:paraId="328BE6A4"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 xml:space="preserve">2024: 65% </w:t>
            </w:r>
          </w:p>
          <w:p w14:paraId="3C1BF007"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 xml:space="preserve">2025: 65% </w:t>
            </w:r>
          </w:p>
          <w:p w14:paraId="16D41D34" w14:textId="77777777" w:rsidR="006D3EDA" w:rsidRPr="00462C13" w:rsidRDefault="006D3EDA"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2026: 65%</w:t>
            </w:r>
          </w:p>
        </w:tc>
        <w:tc>
          <w:tcPr>
            <w:tcW w:w="19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2711381" w14:textId="77777777" w:rsidR="006D3EDA" w:rsidRPr="00CE7843" w:rsidRDefault="006D3EDA" w:rsidP="005B79CC">
            <w:pPr>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8"/>
                <w:bdr w:val="none" w:sz="0" w:space="0" w:color="auto" w:frame="1"/>
              </w:rPr>
            </w:pPr>
            <w:r w:rsidRPr="00462C13">
              <w:rPr>
                <w:rFonts w:cs="Tahoma"/>
              </w:rPr>
              <w:t>65%</w:t>
            </w:r>
          </w:p>
        </w:tc>
        <w:tc>
          <w:tcPr>
            <w:tcW w:w="22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7061DDF" w14:textId="22A9E323" w:rsidR="006D3EDA" w:rsidRPr="00CE7843" w:rsidRDefault="00E57372"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E57372">
              <w:rPr>
                <w:rFonts w:cs="Tahoma"/>
                <w:szCs w:val="16"/>
              </w:rPr>
              <w:t>79,37</w:t>
            </w:r>
            <w:r>
              <w:rPr>
                <w:rFonts w:cs="Tahoma"/>
                <w:szCs w:val="16"/>
              </w:rPr>
              <w:t>%</w:t>
            </w:r>
          </w:p>
        </w:tc>
        <w:tc>
          <w:tcPr>
            <w:tcW w:w="22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0B4BDF8" w14:textId="6DE4B2D9" w:rsidR="006D3EDA" w:rsidRPr="00CE7843" w:rsidRDefault="009B22BA"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9B22BA">
              <w:rPr>
                <w:rFonts w:cs="Tahoma"/>
                <w:szCs w:val="16"/>
              </w:rPr>
              <w:t>122,11</w:t>
            </w:r>
            <w:r w:rsidR="006D3EDA" w:rsidRPr="00E02F20">
              <w:rPr>
                <w:rFonts w:cs="Tahoma"/>
                <w:szCs w:val="16"/>
              </w:rPr>
              <w:t>%</w:t>
            </w:r>
          </w:p>
        </w:tc>
        <w:tc>
          <w:tcPr>
            <w:tcW w:w="32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0E89149" w14:textId="1F7DFBC4" w:rsidR="006D3EDA" w:rsidRPr="009B22BA" w:rsidRDefault="00323028"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323028">
              <w:rPr>
                <w:rFonts w:cs="Tahoma"/>
                <w:szCs w:val="16"/>
              </w:rPr>
              <w:t>16.589.110,00</w:t>
            </w:r>
          </w:p>
        </w:tc>
        <w:tc>
          <w:tcPr>
            <w:tcW w:w="295"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51A6E38" w14:textId="2C92BB54" w:rsidR="006D3EDA" w:rsidRPr="009B22BA" w:rsidRDefault="0056372C"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56372C">
              <w:rPr>
                <w:rFonts w:cs="Tahoma"/>
                <w:szCs w:val="16"/>
              </w:rPr>
              <w:t>66.335.930,00</w:t>
            </w:r>
          </w:p>
        </w:tc>
        <w:tc>
          <w:tcPr>
            <w:tcW w:w="29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20325DF" w14:textId="5E78D605" w:rsidR="006D3EDA" w:rsidRPr="009B22BA" w:rsidRDefault="0056372C" w:rsidP="00395FA4">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395FA4">
              <w:rPr>
                <w:rFonts w:cs="Tahoma"/>
                <w:b/>
                <w:bCs/>
                <w:szCs w:val="16"/>
                <w:lang w:val="es-CR"/>
              </w:rPr>
              <w:t>Sobre ejecución:</w:t>
            </w:r>
            <w:r w:rsidRPr="00395FA4">
              <w:rPr>
                <w:rFonts w:cs="Tahoma"/>
                <w:szCs w:val="16"/>
                <w:lang w:val="es-CR"/>
              </w:rPr>
              <w:t xml:space="preserve"> </w:t>
            </w:r>
            <w:r w:rsidR="00395FA4" w:rsidRPr="00395FA4">
              <w:rPr>
                <w:rFonts w:cs="Tahoma"/>
                <w:szCs w:val="16"/>
                <w:lang w:val="es-CR"/>
              </w:rPr>
              <w:t>Hubo una sobre ejecución debido al incremento de población meta y población en general beneficiada por el Programa, relacionada con la apertura de 3 nuevos Centros Cívicos en el año 2025.</w:t>
            </w:r>
          </w:p>
        </w:tc>
        <w:tc>
          <w:tcPr>
            <w:tcW w:w="295"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DD0B973"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E02F20">
              <w:rPr>
                <w:rFonts w:cs="Tahoma"/>
                <w:szCs w:val="16"/>
              </w:rPr>
              <w:t>Dirección General de Promoción de la Paz y Convivencia Ciudadana (DIGEPAZ). Ministerio de Justicia y Paz.</w:t>
            </w:r>
          </w:p>
        </w:tc>
        <w:tc>
          <w:tcPr>
            <w:tcW w:w="327" w:type="pct"/>
            <w:tcBorders>
              <w:top w:val="single" w:sz="12" w:space="0" w:color="FFFFFF"/>
              <w:left w:val="single" w:sz="12" w:space="0" w:color="FFFFFF"/>
              <w:bottom w:val="single" w:sz="12" w:space="0" w:color="FFFFFF"/>
              <w:right w:val="single" w:sz="12" w:space="0" w:color="FFFFFF"/>
            </w:tcBorders>
            <w:shd w:val="clear" w:color="auto" w:fill="92D050"/>
          </w:tcPr>
          <w:p w14:paraId="0B6737AA"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C43FB6">
              <w:rPr>
                <w:rFonts w:cs="Tahoma"/>
                <w:b/>
                <w:szCs w:val="16"/>
              </w:rPr>
              <w:t>Cumplimiento alto</w:t>
            </w:r>
          </w:p>
        </w:tc>
        <w:tc>
          <w:tcPr>
            <w:tcW w:w="185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4D07797" w14:textId="77777777" w:rsidR="00841D17" w:rsidRDefault="009B22B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9B22BA">
              <w:rPr>
                <w:rFonts w:cs="Tahoma"/>
                <w:bCs/>
                <w:szCs w:val="16"/>
              </w:rPr>
              <w:t xml:space="preserve">Continúa siendo el voluntariado una de las fortalezas del modelo de trabajo, el cual coadyuva al alcance de las metas de manera sustantiva en torno a suplir la oferta que no satisfacen las contrapartes participantes del programa. </w:t>
            </w:r>
          </w:p>
          <w:p w14:paraId="3F0EF49E" w14:textId="77777777" w:rsidR="00841D17" w:rsidRDefault="00841D17"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7DB0C489" w14:textId="77777777" w:rsidR="00841D17" w:rsidRDefault="009B22B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9B22BA">
              <w:rPr>
                <w:rFonts w:cs="Tahoma"/>
                <w:bCs/>
                <w:szCs w:val="16"/>
              </w:rPr>
              <w:t xml:space="preserve">Los resultados contenidos en el presente documento, reflejan únicamente la atención hecha a la población meta, sin embargo, no puede dejarse de lado que hay una atención integral a todas las poblaciones presentes en las localidades beneficiadas, lo que implica un valor público considerable derivado de la inclusión de todos los grupos etarios generando prevención de violencia en distintas poblaciones. </w:t>
            </w:r>
          </w:p>
          <w:p w14:paraId="59C3356A" w14:textId="77777777" w:rsidR="00841D17" w:rsidRDefault="00841D17"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5D452C0B" w14:textId="77777777" w:rsidR="00841D17" w:rsidRDefault="009B22B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9B22BA">
              <w:rPr>
                <w:rFonts w:cs="Tahoma"/>
                <w:bCs/>
                <w:szCs w:val="16"/>
              </w:rPr>
              <w:t xml:space="preserve">Gracias a la adición de las asistentes administrativas a los CCP, se ha logrado establecer una estrategia de mayor incidencia en lo que respecta a la transversalización de contenidos con la población meta en las ofertas programáticas ofrecidas. </w:t>
            </w:r>
          </w:p>
          <w:p w14:paraId="37DFC95D" w14:textId="77777777" w:rsidR="00841D17" w:rsidRDefault="00841D17"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52502297" w14:textId="41B78115" w:rsidR="006D3EDA" w:rsidRPr="009B22BA" w:rsidRDefault="009B22B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9B22BA">
              <w:rPr>
                <w:rFonts w:cs="Tahoma"/>
                <w:bCs/>
                <w:szCs w:val="16"/>
              </w:rPr>
              <w:t>Así mismo se han observado beneficios o efectos en la población meta dirigidos hacia el desarrollo personal y socioemocional, generado a través de las distintas actividades que brindan los CCP, el desarrollo de habilidades para la vida, fortalecimiento de competencias socioemocionales, mayor seguridad personal, mejoramiento en la convivencia y reducción de conductas violentas o de riesgo, así como de exclusión social ; identificación de situaciones de vulnerabilidad, adquisición de factores protectores, participación y protagonismo de la juventud en los entonos comunales, una mayor cohesión social y promoción de los derechos humanos así como el desarrollo de habilidades que les permita tener una mayor posibilidad de permanecer en el sistema educativo.</w:t>
            </w:r>
          </w:p>
        </w:tc>
      </w:tr>
    </w:tbl>
    <w:p w14:paraId="0F1BF1F4" w14:textId="1415A2B3" w:rsidR="006D3EDA" w:rsidRPr="00462C13" w:rsidRDefault="006D3EDA" w:rsidP="006D3EDA">
      <w:pPr>
        <w:pStyle w:val="Default"/>
        <w:rPr>
          <w:rFonts w:ascii="Tahoma" w:eastAsia="Arial Narrow" w:hAnsi="Tahoma" w:cs="Tahoma"/>
          <w:sz w:val="16"/>
        </w:rPr>
      </w:pPr>
      <w:r w:rsidRPr="00462C13">
        <w:rPr>
          <w:rFonts w:ascii="Tahoma" w:eastAsia="Arial Narrow" w:hAnsi="Tahoma" w:cs="Tahoma"/>
          <w:sz w:val="16"/>
        </w:rPr>
        <w:t>Fuente: Dirección General de Promoción de la Paz y Convivencia Ciudadana,</w:t>
      </w:r>
      <w:r>
        <w:rPr>
          <w:rFonts w:ascii="Tahoma" w:eastAsia="Arial Narrow" w:hAnsi="Tahoma" w:cs="Tahoma"/>
          <w:sz w:val="16"/>
        </w:rPr>
        <w:t xml:space="preserve"> Viceministerio de Paz,</w:t>
      </w:r>
      <w:r w:rsidRPr="00462C13">
        <w:rPr>
          <w:rFonts w:ascii="Tahoma" w:eastAsia="Arial Narrow" w:hAnsi="Tahoma" w:cs="Tahoma"/>
          <w:sz w:val="16"/>
        </w:rPr>
        <w:t xml:space="preserve"> Ministerio de Justicia y Paz, 202</w:t>
      </w:r>
      <w:r w:rsidR="006172B7">
        <w:rPr>
          <w:rFonts w:ascii="Tahoma" w:eastAsia="Arial Narrow" w:hAnsi="Tahoma" w:cs="Tahoma"/>
          <w:sz w:val="16"/>
        </w:rPr>
        <w:t>6</w:t>
      </w:r>
      <w:r w:rsidRPr="00462C13">
        <w:rPr>
          <w:rFonts w:ascii="Tahoma" w:eastAsia="Arial Narrow" w:hAnsi="Tahoma" w:cs="Tahoma"/>
          <w:sz w:val="16"/>
        </w:rPr>
        <w:t xml:space="preserve">. </w:t>
      </w:r>
    </w:p>
    <w:p w14:paraId="284EA59F" w14:textId="77777777" w:rsidR="00451149" w:rsidRDefault="00451149" w:rsidP="006D3EDA">
      <w:pPr>
        <w:pStyle w:val="Ttulo2"/>
        <w:spacing w:before="0"/>
        <w:rPr>
          <w:rFonts w:cs="Tahoma"/>
        </w:rPr>
      </w:pPr>
      <w:bookmarkStart w:id="36" w:name="_Toc189055696"/>
      <w:bookmarkStart w:id="37" w:name="_Toc220401622"/>
    </w:p>
    <w:p w14:paraId="4AD52F24" w14:textId="77777777" w:rsidR="00451149" w:rsidRPr="00451149" w:rsidRDefault="00451149" w:rsidP="00451149"/>
    <w:p w14:paraId="0096D290" w14:textId="45A36461" w:rsidR="006D3EDA" w:rsidRPr="00462C13" w:rsidRDefault="006D3EDA" w:rsidP="006D3EDA">
      <w:pPr>
        <w:pStyle w:val="Ttulo2"/>
        <w:spacing w:before="0"/>
        <w:rPr>
          <w:rFonts w:cs="Tahoma"/>
        </w:rPr>
      </w:pPr>
      <w:r w:rsidRPr="00462C13">
        <w:rPr>
          <w:rFonts w:cs="Tahoma"/>
        </w:rPr>
        <w:lastRenderedPageBreak/>
        <w:t>Intervención Pública 3: Atención a los Flujos Migratorios Mixtos.</w:t>
      </w:r>
      <w:bookmarkEnd w:id="36"/>
      <w:bookmarkEnd w:id="37"/>
    </w:p>
    <w:tbl>
      <w:tblPr>
        <w:tblStyle w:val="Tablaclsica3"/>
        <w:tblW w:w="5000" w:type="pct"/>
        <w:jc w:val="center"/>
        <w:tblLook w:val="04A0" w:firstRow="1" w:lastRow="0" w:firstColumn="1" w:lastColumn="0" w:noHBand="0" w:noVBand="1"/>
      </w:tblPr>
      <w:tblGrid>
        <w:gridCol w:w="1415"/>
        <w:gridCol w:w="1258"/>
        <w:gridCol w:w="1021"/>
        <w:gridCol w:w="675"/>
        <w:gridCol w:w="924"/>
        <w:gridCol w:w="858"/>
        <w:gridCol w:w="1323"/>
        <w:gridCol w:w="1323"/>
        <w:gridCol w:w="1208"/>
        <w:gridCol w:w="1126"/>
        <w:gridCol w:w="1339"/>
        <w:gridCol w:w="9144"/>
      </w:tblGrid>
      <w:tr w:rsidR="006D3EDA" w:rsidRPr="00462C13" w14:paraId="1445354F" w14:textId="77777777" w:rsidTr="00784E8F">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42" w:type="pct"/>
            <w:vMerge w:val="restart"/>
            <w:tcBorders>
              <w:top w:val="single" w:sz="12" w:space="0" w:color="FFFFFF"/>
              <w:left w:val="single" w:sz="12" w:space="0" w:color="FFFFFF"/>
              <w:bottom w:val="single" w:sz="12" w:space="0" w:color="FFFFFF"/>
              <w:right w:val="single" w:sz="12" w:space="0" w:color="FFFFFF"/>
            </w:tcBorders>
            <w:shd w:val="clear" w:color="auto" w:fill="003A70"/>
          </w:tcPr>
          <w:p w14:paraId="07EEC2F8" w14:textId="77777777" w:rsidR="006D3EDA" w:rsidRPr="00462C13" w:rsidRDefault="006D3EDA" w:rsidP="005B79CC">
            <w:pPr>
              <w:rPr>
                <w:rFonts w:eastAsia="Arial Unicode MS" w:cs="Tahoma"/>
                <w:szCs w:val="16"/>
                <w:bdr w:val="none" w:sz="0" w:space="0" w:color="auto" w:frame="1"/>
              </w:rPr>
            </w:pPr>
            <w:r w:rsidRPr="00462C13">
              <w:rPr>
                <w:rFonts w:eastAsia="Arial Unicode MS" w:cs="Tahoma"/>
                <w:szCs w:val="16"/>
                <w:bdr w:val="none" w:sz="0" w:space="0" w:color="auto" w:frame="1"/>
              </w:rPr>
              <w:t xml:space="preserve">Objetivo </w:t>
            </w:r>
          </w:p>
        </w:tc>
        <w:tc>
          <w:tcPr>
            <w:tcW w:w="556" w:type="pct"/>
            <w:gridSpan w:val="2"/>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6DBA561B"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xml:space="preserve">Programación </w:t>
            </w:r>
          </w:p>
          <w:p w14:paraId="2086403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PNDIP 2023-2026</w:t>
            </w:r>
          </w:p>
        </w:tc>
        <w:tc>
          <w:tcPr>
            <w:tcW w:w="4102" w:type="pct"/>
            <w:gridSpan w:val="9"/>
            <w:tcBorders>
              <w:top w:val="single" w:sz="12" w:space="0" w:color="FFFFFF"/>
              <w:left w:val="single" w:sz="12" w:space="0" w:color="FFFFFF"/>
              <w:bottom w:val="single" w:sz="12" w:space="0" w:color="FFFFFF"/>
              <w:right w:val="single" w:sz="12" w:space="0" w:color="FFFFFF"/>
            </w:tcBorders>
            <w:shd w:val="clear" w:color="auto" w:fill="003A70"/>
          </w:tcPr>
          <w:p w14:paraId="595B07C0" w14:textId="1A9E629B"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224BD7">
              <w:rPr>
                <w:rFonts w:eastAsia="Arial Unicode MS" w:cs="Tahoma"/>
                <w:szCs w:val="16"/>
                <w:bdr w:val="none" w:sz="0" w:space="0" w:color="auto" w:frame="1"/>
              </w:rPr>
              <w:t xml:space="preserve">Seguimiento </w:t>
            </w:r>
            <w:r>
              <w:rPr>
                <w:rFonts w:eastAsia="Arial Unicode MS" w:cs="Tahoma"/>
                <w:szCs w:val="16"/>
                <w:bdr w:val="none" w:sz="0" w:space="0" w:color="auto" w:frame="1"/>
              </w:rPr>
              <w:t xml:space="preserve">Anual </w:t>
            </w:r>
            <w:r w:rsidRPr="00224BD7">
              <w:rPr>
                <w:rFonts w:eastAsia="Arial Unicode MS" w:cs="Tahoma"/>
                <w:szCs w:val="16"/>
                <w:bdr w:val="none" w:sz="0" w:space="0" w:color="auto" w:frame="1"/>
              </w:rPr>
              <w:t>202</w:t>
            </w:r>
            <w:r w:rsidR="004B4F07">
              <w:rPr>
                <w:rFonts w:eastAsia="Arial Unicode MS" w:cs="Tahoma"/>
                <w:szCs w:val="16"/>
                <w:bdr w:val="none" w:sz="0" w:space="0" w:color="auto" w:frame="1"/>
              </w:rPr>
              <w:t>5</w:t>
            </w:r>
          </w:p>
        </w:tc>
      </w:tr>
      <w:tr w:rsidR="00784E8F" w:rsidRPr="00462C13" w14:paraId="7B66A704" w14:textId="77777777" w:rsidTr="00784E8F">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42" w:type="pct"/>
            <w:vMerge/>
            <w:tcBorders>
              <w:top w:val="single" w:sz="12" w:space="0" w:color="FFFFFF"/>
              <w:left w:val="single" w:sz="12" w:space="0" w:color="FFFFFF"/>
              <w:bottom w:val="single" w:sz="12" w:space="0" w:color="FFFFFF"/>
              <w:right w:val="single" w:sz="12" w:space="0" w:color="FFFFFF"/>
            </w:tcBorders>
            <w:shd w:val="clear" w:color="auto" w:fill="003A70"/>
            <w:hideMark/>
          </w:tcPr>
          <w:p w14:paraId="3E1AC209" w14:textId="77777777" w:rsidR="006D3EDA" w:rsidRPr="00462C13" w:rsidRDefault="006D3EDA" w:rsidP="005B79CC">
            <w:pPr>
              <w:rPr>
                <w:rFonts w:eastAsia="Arial Unicode MS" w:cs="Tahoma"/>
                <w:szCs w:val="16"/>
                <w:bdr w:val="none" w:sz="0" w:space="0" w:color="auto" w:frame="1"/>
              </w:rPr>
            </w:pPr>
          </w:p>
        </w:tc>
        <w:tc>
          <w:tcPr>
            <w:tcW w:w="556" w:type="pct"/>
            <w:gridSpan w:val="2"/>
            <w:vMerge/>
            <w:tcBorders>
              <w:top w:val="single" w:sz="12" w:space="0" w:color="FFFFFF"/>
              <w:left w:val="single" w:sz="12" w:space="0" w:color="FFFFFF"/>
              <w:bottom w:val="single" w:sz="12" w:space="0" w:color="FFFFFF"/>
              <w:right w:val="single" w:sz="12" w:space="0" w:color="FFFFFF"/>
            </w:tcBorders>
            <w:shd w:val="clear" w:color="auto" w:fill="003A70"/>
            <w:hideMark/>
          </w:tcPr>
          <w:p w14:paraId="23929ECD"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58" w:type="pct"/>
            <w:vMerge w:val="restart"/>
            <w:tcBorders>
              <w:top w:val="single" w:sz="12" w:space="0" w:color="FFFFFF"/>
              <w:left w:val="single" w:sz="12" w:space="0" w:color="FFFFFF"/>
              <w:right w:val="single" w:sz="12" w:space="0" w:color="FFFFFF"/>
            </w:tcBorders>
            <w:shd w:val="clear" w:color="auto" w:fill="003A70"/>
            <w:hideMark/>
          </w:tcPr>
          <w:p w14:paraId="4AE2D58B"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Meta Anual</w:t>
            </w:r>
          </w:p>
        </w:tc>
        <w:tc>
          <w:tcPr>
            <w:tcW w:w="214"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7B2722BD"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Absoluto</w:t>
            </w:r>
          </w:p>
        </w:tc>
        <w:tc>
          <w:tcPr>
            <w:tcW w:w="201" w:type="pct"/>
            <w:vMerge w:val="restart"/>
            <w:tcBorders>
              <w:top w:val="single" w:sz="12" w:space="0" w:color="FFFFFF"/>
              <w:left w:val="single" w:sz="12" w:space="0" w:color="FFFFFF"/>
              <w:right w:val="single" w:sz="12" w:space="0" w:color="FFFFFF"/>
            </w:tcBorders>
            <w:shd w:val="clear" w:color="auto" w:fill="003A70"/>
            <w:hideMark/>
          </w:tcPr>
          <w:p w14:paraId="276CA66C"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de avance</w:t>
            </w:r>
          </w:p>
        </w:tc>
        <w:tc>
          <w:tcPr>
            <w:tcW w:w="892" w:type="pct"/>
            <w:gridSpan w:val="3"/>
            <w:tcBorders>
              <w:top w:val="single" w:sz="12" w:space="0" w:color="FFFFFF"/>
              <w:left w:val="single" w:sz="12" w:space="0" w:color="FFFFFF"/>
              <w:bottom w:val="single" w:sz="4" w:space="0" w:color="auto"/>
              <w:right w:val="single" w:sz="12" w:space="0" w:color="FFFFFF"/>
            </w:tcBorders>
            <w:shd w:val="clear" w:color="auto" w:fill="003A70"/>
          </w:tcPr>
          <w:p w14:paraId="0E393728" w14:textId="3EBEFFD5"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Presupuesto 202</w:t>
            </w:r>
            <w:r w:rsidR="004B4F07">
              <w:rPr>
                <w:rFonts w:eastAsia="Arial Unicode MS" w:cs="Tahoma"/>
                <w:szCs w:val="16"/>
                <w:bdr w:val="none" w:sz="0" w:space="0" w:color="auto" w:frame="1"/>
              </w:rPr>
              <w:t>5</w:t>
            </w:r>
          </w:p>
        </w:tc>
        <w:tc>
          <w:tcPr>
            <w:tcW w:w="260" w:type="pct"/>
            <w:vMerge w:val="restart"/>
            <w:tcBorders>
              <w:top w:val="single" w:sz="12" w:space="0" w:color="FFFFFF"/>
              <w:left w:val="single" w:sz="12" w:space="0" w:color="FFFFFF"/>
              <w:right w:val="single" w:sz="12" w:space="0" w:color="FFFFFF"/>
            </w:tcBorders>
            <w:shd w:val="clear" w:color="auto" w:fill="003A70"/>
          </w:tcPr>
          <w:p w14:paraId="4405BCAB"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Responsable</w:t>
            </w:r>
          </w:p>
        </w:tc>
        <w:tc>
          <w:tcPr>
            <w:tcW w:w="195"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2B23BC5F"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BF3111">
              <w:rPr>
                <w:rFonts w:eastAsia="Arial Unicode MS" w:cs="Tahoma"/>
                <w:szCs w:val="16"/>
                <w:bdr w:val="none" w:sz="0" w:space="0" w:color="auto" w:frame="1"/>
              </w:rPr>
              <w:t>Clasificación de cumplimiento</w:t>
            </w:r>
          </w:p>
        </w:tc>
        <w:tc>
          <w:tcPr>
            <w:tcW w:w="2183"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14FE5098"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vertAlign w:val="superscript"/>
              </w:rPr>
            </w:pPr>
            <w:r w:rsidRPr="007B087D">
              <w:rPr>
                <w:rFonts w:eastAsia="Arial Unicode MS" w:cs="Tahoma"/>
                <w:sz w:val="24"/>
                <w:szCs w:val="16"/>
                <w:bdr w:val="none" w:sz="0" w:space="0" w:color="auto" w:frame="1"/>
              </w:rPr>
              <w:t xml:space="preserve">Logros </w:t>
            </w:r>
            <w:r>
              <w:rPr>
                <w:rFonts w:eastAsia="Arial Unicode MS" w:cs="Tahoma"/>
                <w:sz w:val="24"/>
                <w:szCs w:val="16"/>
                <w:bdr w:val="none" w:sz="0" w:space="0" w:color="auto" w:frame="1"/>
              </w:rPr>
              <w:t xml:space="preserve">u obstáculos </w:t>
            </w:r>
          </w:p>
        </w:tc>
      </w:tr>
      <w:tr w:rsidR="00784E8F" w:rsidRPr="00462C13" w14:paraId="3568CE5F" w14:textId="77777777" w:rsidTr="00784E8F">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42" w:type="pct"/>
            <w:vMerge/>
            <w:tcBorders>
              <w:top w:val="single" w:sz="12" w:space="0" w:color="FFFFFF"/>
              <w:left w:val="single" w:sz="12" w:space="0" w:color="FFFFFF"/>
              <w:bottom w:val="single" w:sz="12" w:space="0" w:color="FFFFFF"/>
              <w:right w:val="single" w:sz="12" w:space="0" w:color="FFFFFF"/>
            </w:tcBorders>
            <w:hideMark/>
          </w:tcPr>
          <w:p w14:paraId="2C222F74" w14:textId="77777777" w:rsidR="006D3EDA" w:rsidRPr="00462C13" w:rsidRDefault="006D3EDA" w:rsidP="005B79CC">
            <w:pPr>
              <w:rPr>
                <w:rFonts w:eastAsia="Arial Unicode MS" w:cs="Tahoma"/>
                <w:szCs w:val="16"/>
                <w:bdr w:val="none" w:sz="0" w:space="0" w:color="auto" w:frame="1"/>
              </w:rPr>
            </w:pPr>
          </w:p>
        </w:tc>
        <w:tc>
          <w:tcPr>
            <w:tcW w:w="299" w:type="pct"/>
            <w:tcBorders>
              <w:top w:val="single" w:sz="12" w:space="0" w:color="FFFFFF"/>
              <w:left w:val="single" w:sz="12" w:space="0" w:color="FFFFFF"/>
              <w:bottom w:val="single" w:sz="12" w:space="0" w:color="FFFFFF"/>
              <w:right w:val="single" w:sz="12" w:space="0" w:color="FFFFFF"/>
            </w:tcBorders>
            <w:shd w:val="clear" w:color="auto" w:fill="003A70"/>
            <w:hideMark/>
          </w:tcPr>
          <w:p w14:paraId="3683374E"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Indicadores</w:t>
            </w:r>
          </w:p>
        </w:tc>
        <w:tc>
          <w:tcPr>
            <w:tcW w:w="257" w:type="pct"/>
            <w:tcBorders>
              <w:top w:val="single" w:sz="12" w:space="0" w:color="FFFFFF"/>
              <w:left w:val="single" w:sz="12" w:space="0" w:color="FFFFFF"/>
              <w:bottom w:val="single" w:sz="12" w:space="0" w:color="FFFFFF"/>
              <w:right w:val="single" w:sz="12" w:space="0" w:color="FFFFFF"/>
            </w:tcBorders>
            <w:shd w:val="clear" w:color="auto" w:fill="003A70"/>
            <w:hideMark/>
          </w:tcPr>
          <w:p w14:paraId="62ED6DB8"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 xml:space="preserve">Metas Periodo </w:t>
            </w:r>
          </w:p>
        </w:tc>
        <w:tc>
          <w:tcPr>
            <w:tcW w:w="158" w:type="pct"/>
            <w:vMerge/>
            <w:tcBorders>
              <w:left w:val="single" w:sz="12" w:space="0" w:color="FFFFFF"/>
              <w:bottom w:val="single" w:sz="12" w:space="0" w:color="FFFFFF"/>
              <w:right w:val="single" w:sz="12" w:space="0" w:color="FFFFFF"/>
            </w:tcBorders>
            <w:hideMark/>
          </w:tcPr>
          <w:p w14:paraId="4997298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14" w:type="pct"/>
            <w:vMerge/>
            <w:tcBorders>
              <w:top w:val="single" w:sz="12" w:space="0" w:color="FFFFFF"/>
              <w:left w:val="single" w:sz="12" w:space="0" w:color="FFFFFF"/>
              <w:bottom w:val="single" w:sz="12" w:space="0" w:color="FFFFFF"/>
              <w:right w:val="single" w:sz="12" w:space="0" w:color="FFFFFF"/>
            </w:tcBorders>
            <w:shd w:val="clear" w:color="auto" w:fill="003366"/>
            <w:hideMark/>
          </w:tcPr>
          <w:p w14:paraId="471FDE6E"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01" w:type="pct"/>
            <w:vMerge/>
            <w:tcBorders>
              <w:left w:val="single" w:sz="12" w:space="0" w:color="FFFFFF"/>
              <w:bottom w:val="single" w:sz="12" w:space="0" w:color="FFFFFF"/>
              <w:right w:val="single" w:sz="12" w:space="0" w:color="FFFFFF"/>
            </w:tcBorders>
            <w:hideMark/>
          </w:tcPr>
          <w:p w14:paraId="2CA4EE04"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06" w:type="pct"/>
            <w:tcBorders>
              <w:left w:val="single" w:sz="12" w:space="0" w:color="FFFFFF"/>
              <w:bottom w:val="single" w:sz="12" w:space="0" w:color="FFFFFF"/>
              <w:right w:val="single" w:sz="12" w:space="0" w:color="FFFFFF"/>
            </w:tcBorders>
            <w:shd w:val="clear" w:color="auto" w:fill="003A70"/>
          </w:tcPr>
          <w:p w14:paraId="4E4BD0F1"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rPr>
            </w:pPr>
            <w:r w:rsidRPr="00650798">
              <w:rPr>
                <w:rFonts w:ascii="Arial" w:eastAsia="Arial Unicode MS" w:hAnsi="Arial" w:cs="Arial"/>
                <w:color w:val="auto"/>
                <w:szCs w:val="12"/>
                <w:bdr w:val="none" w:sz="0" w:space="0" w:color="auto" w:frame="1"/>
                <w:lang w:eastAsia="en-US"/>
              </w:rPr>
              <w:t>Presupuesto programado</w:t>
            </w:r>
          </w:p>
        </w:tc>
        <w:tc>
          <w:tcPr>
            <w:tcW w:w="306" w:type="pct"/>
            <w:tcBorders>
              <w:left w:val="single" w:sz="12" w:space="0" w:color="FFFFFF"/>
              <w:bottom w:val="single" w:sz="12" w:space="0" w:color="FFFFFF"/>
              <w:right w:val="single" w:sz="12" w:space="0" w:color="FFFFFF"/>
            </w:tcBorders>
            <w:shd w:val="clear" w:color="auto" w:fill="003A70"/>
          </w:tcPr>
          <w:p w14:paraId="4D9B7DF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Monto ejecutado</w:t>
            </w:r>
          </w:p>
        </w:tc>
        <w:tc>
          <w:tcPr>
            <w:tcW w:w="279" w:type="pct"/>
            <w:tcBorders>
              <w:left w:val="single" w:sz="12" w:space="0" w:color="FFFFFF"/>
              <w:bottom w:val="single" w:sz="12" w:space="0" w:color="FFFFFF"/>
              <w:right w:val="single" w:sz="12" w:space="0" w:color="FFFFFF"/>
            </w:tcBorders>
            <w:shd w:val="clear" w:color="auto" w:fill="003A70"/>
          </w:tcPr>
          <w:p w14:paraId="613BA94B"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Información cualitativa</w:t>
            </w:r>
          </w:p>
        </w:tc>
        <w:tc>
          <w:tcPr>
            <w:tcW w:w="260" w:type="pct"/>
            <w:vMerge/>
            <w:tcBorders>
              <w:left w:val="single" w:sz="12" w:space="0" w:color="FFFFFF"/>
              <w:bottom w:val="single" w:sz="12" w:space="0" w:color="FFFFFF"/>
              <w:right w:val="single" w:sz="12" w:space="0" w:color="FFFFFF"/>
            </w:tcBorders>
          </w:tcPr>
          <w:p w14:paraId="48DA902A"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95" w:type="pct"/>
            <w:vMerge/>
            <w:tcBorders>
              <w:top w:val="single" w:sz="12" w:space="0" w:color="FFFFFF"/>
              <w:left w:val="single" w:sz="12" w:space="0" w:color="FFFFFF"/>
              <w:bottom w:val="single" w:sz="12" w:space="0" w:color="FFFFFF"/>
              <w:right w:val="single" w:sz="12" w:space="0" w:color="FFFFFF"/>
            </w:tcBorders>
            <w:hideMark/>
          </w:tcPr>
          <w:p w14:paraId="03D98702"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183" w:type="pct"/>
            <w:vMerge/>
            <w:tcBorders>
              <w:top w:val="single" w:sz="12" w:space="0" w:color="FFFFFF"/>
              <w:left w:val="single" w:sz="12" w:space="0" w:color="FFFFFF"/>
              <w:bottom w:val="single" w:sz="12" w:space="0" w:color="FFFFFF"/>
              <w:right w:val="single" w:sz="12" w:space="0" w:color="FFFFFF"/>
            </w:tcBorders>
            <w:hideMark/>
          </w:tcPr>
          <w:p w14:paraId="4B1D12D8"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vertAlign w:val="superscript"/>
              </w:rPr>
            </w:pPr>
          </w:p>
        </w:tc>
      </w:tr>
      <w:tr w:rsidR="00784E8F" w:rsidRPr="00462C13" w14:paraId="010B58A6" w14:textId="77777777" w:rsidTr="00784E8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2"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0C1ED8E" w14:textId="77777777" w:rsidR="006D3EDA" w:rsidRPr="00462C13" w:rsidRDefault="006D3EDA" w:rsidP="005B79CC">
            <w:pPr>
              <w:jc w:val="both"/>
              <w:rPr>
                <w:rFonts w:cs="Tahoma"/>
                <w:szCs w:val="16"/>
              </w:rPr>
            </w:pPr>
            <w:r w:rsidRPr="00462C13">
              <w:rPr>
                <w:rFonts w:cs="Tahoma"/>
                <w:b/>
                <w:bCs w:val="0"/>
                <w:szCs w:val="22"/>
              </w:rPr>
              <w:t xml:space="preserve">3.1. </w:t>
            </w:r>
            <w:r w:rsidRPr="00462C13">
              <w:rPr>
                <w:rFonts w:cs="Tahoma"/>
                <w:bCs w:val="0"/>
                <w:szCs w:val="22"/>
              </w:rPr>
              <w:t>Promover una migración ordenada, segura y regular, mediante la atención de los Flujos Migratorios Mixtos que ingresen o permanezcan en nuestro país.</w:t>
            </w:r>
          </w:p>
        </w:tc>
        <w:tc>
          <w:tcPr>
            <w:tcW w:w="29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AC3084B" w14:textId="41818BE9" w:rsidR="006D3EDA" w:rsidRPr="00462C13"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szCs w:val="16"/>
              </w:rPr>
              <w:t xml:space="preserve">A.3.1.1 </w:t>
            </w:r>
            <w:r w:rsidR="00B11403" w:rsidRPr="00A673BC">
              <w:rPr>
                <w:rFonts w:cs="Tahoma"/>
                <w:szCs w:val="16"/>
              </w:rPr>
              <w:t>Porcentaje de permisos de trabajo otorgados a solicitantes de refugio</w:t>
            </w:r>
            <w:r w:rsidR="00B11403">
              <w:rPr>
                <w:rFonts w:cs="Tahoma"/>
                <w:szCs w:val="16"/>
              </w:rPr>
              <w:t>.</w:t>
            </w:r>
          </w:p>
        </w:tc>
        <w:tc>
          <w:tcPr>
            <w:tcW w:w="25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7222FCA"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szCs w:val="16"/>
              </w:rPr>
              <w:t xml:space="preserve">2023-2026: </w:t>
            </w:r>
            <w:r w:rsidRPr="00462C13">
              <w:rPr>
                <w:rFonts w:cs="Tahoma"/>
                <w:szCs w:val="16"/>
              </w:rPr>
              <w:t xml:space="preserve">84% </w:t>
            </w:r>
          </w:p>
          <w:p w14:paraId="65902CAD"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p>
          <w:p w14:paraId="670ECFF2"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 xml:space="preserve">2023: 81% </w:t>
            </w:r>
          </w:p>
          <w:p w14:paraId="3E4C74B8"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 xml:space="preserve">2024: 82% </w:t>
            </w:r>
          </w:p>
          <w:p w14:paraId="16268FB6"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 xml:space="preserve">2025: 83% </w:t>
            </w:r>
          </w:p>
          <w:p w14:paraId="6063FCED" w14:textId="77777777" w:rsidR="006D3EDA" w:rsidRPr="00462C13" w:rsidRDefault="006D3EDA"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2026: 84%</w:t>
            </w:r>
          </w:p>
        </w:tc>
        <w:tc>
          <w:tcPr>
            <w:tcW w:w="15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6EAF8B2" w14:textId="74195517" w:rsidR="006D3EDA" w:rsidRPr="00CE7843" w:rsidRDefault="006D3EDA" w:rsidP="005B79CC">
            <w:pPr>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8"/>
                <w:bdr w:val="none" w:sz="0" w:space="0" w:color="auto" w:frame="1"/>
              </w:rPr>
            </w:pPr>
            <w:r w:rsidRPr="00462C13">
              <w:rPr>
                <w:rFonts w:cs="Tahoma"/>
              </w:rPr>
              <w:t>8</w:t>
            </w:r>
            <w:r w:rsidR="00B11403">
              <w:rPr>
                <w:rFonts w:cs="Tahoma"/>
              </w:rPr>
              <w:t>3</w:t>
            </w:r>
            <w:r w:rsidRPr="00462C13">
              <w:rPr>
                <w:rFonts w:cs="Tahoma"/>
              </w:rPr>
              <w:t>%</w:t>
            </w:r>
          </w:p>
        </w:tc>
        <w:tc>
          <w:tcPr>
            <w:tcW w:w="2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F53B462" w14:textId="5D9F8B84" w:rsidR="006D3EDA" w:rsidRPr="00173CC6" w:rsidRDefault="00173CC6"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173CC6">
              <w:rPr>
                <w:rFonts w:cs="Tahoma"/>
                <w:szCs w:val="16"/>
              </w:rPr>
              <w:t>100%</w:t>
            </w:r>
          </w:p>
        </w:tc>
        <w:tc>
          <w:tcPr>
            <w:tcW w:w="201"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93BE6D9" w14:textId="154E9687" w:rsidR="006D3EDA" w:rsidRPr="00173CC6" w:rsidRDefault="006D3EDA"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173CC6">
              <w:rPr>
                <w:rFonts w:cs="Tahoma"/>
                <w:szCs w:val="16"/>
              </w:rPr>
              <w:t>1</w:t>
            </w:r>
            <w:r w:rsidR="00173CC6" w:rsidRPr="00173CC6">
              <w:rPr>
                <w:rFonts w:cs="Tahoma"/>
                <w:szCs w:val="16"/>
              </w:rPr>
              <w:t>20</w:t>
            </w:r>
            <w:r w:rsidRPr="00173CC6">
              <w:rPr>
                <w:rFonts w:cs="Tahoma"/>
                <w:szCs w:val="16"/>
              </w:rPr>
              <w:t>,</w:t>
            </w:r>
            <w:r w:rsidR="00173CC6" w:rsidRPr="00173CC6">
              <w:rPr>
                <w:rFonts w:cs="Tahoma"/>
                <w:szCs w:val="16"/>
              </w:rPr>
              <w:t>48</w:t>
            </w:r>
            <w:r w:rsidRPr="00173CC6">
              <w:rPr>
                <w:rFonts w:cs="Tahoma"/>
                <w:szCs w:val="16"/>
              </w:rPr>
              <w:t>%</w:t>
            </w:r>
          </w:p>
        </w:tc>
        <w:tc>
          <w:tcPr>
            <w:tcW w:w="306" w:type="pct"/>
            <w:vMerge w:val="restart"/>
            <w:tcBorders>
              <w:top w:val="single" w:sz="12" w:space="0" w:color="FFFFFF"/>
              <w:left w:val="single" w:sz="12" w:space="0" w:color="FFFFFF"/>
              <w:right w:val="single" w:sz="12" w:space="0" w:color="FFFFFF"/>
            </w:tcBorders>
            <w:shd w:val="clear" w:color="auto" w:fill="F2F2F2" w:themeFill="background1" w:themeFillShade="F2"/>
          </w:tcPr>
          <w:p w14:paraId="6DC817D2" w14:textId="371166A3" w:rsidR="00A9021A" w:rsidRDefault="006007E5"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6007E5">
              <w:rPr>
                <w:rFonts w:cs="Tahoma"/>
                <w:szCs w:val="16"/>
              </w:rPr>
              <w:t>467.000.000,00</w:t>
            </w:r>
          </w:p>
          <w:p w14:paraId="2E181766" w14:textId="77777777" w:rsidR="006007E5" w:rsidRDefault="006007E5"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p>
          <w:p w14:paraId="4A13E51A" w14:textId="3046D19F" w:rsidR="00A9021A" w:rsidRPr="00B11403" w:rsidRDefault="00A9021A"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691639">
              <w:rPr>
                <w:rFonts w:eastAsia="Arial Unicode MS"/>
                <w:b/>
                <w:szCs w:val="16"/>
                <w:lang w:eastAsia="en-US"/>
              </w:rPr>
              <w:t>Nota</w:t>
            </w:r>
            <w:r w:rsidRPr="00691639">
              <w:rPr>
                <w:rFonts w:eastAsia="Arial Unicode MS"/>
                <w:szCs w:val="16"/>
                <w:lang w:eastAsia="en-US"/>
              </w:rPr>
              <w:t xml:space="preserve">: el presupuesto es compartido con </w:t>
            </w:r>
            <w:r>
              <w:rPr>
                <w:rFonts w:eastAsia="Arial Unicode MS"/>
                <w:szCs w:val="16"/>
                <w:lang w:eastAsia="en-US"/>
              </w:rPr>
              <w:t xml:space="preserve">todos los </w:t>
            </w:r>
            <w:r w:rsidRPr="00691639">
              <w:rPr>
                <w:rFonts w:eastAsia="Arial Unicode MS"/>
                <w:szCs w:val="16"/>
                <w:lang w:eastAsia="en-US"/>
              </w:rPr>
              <w:t xml:space="preserve">indicadores </w:t>
            </w:r>
            <w:r>
              <w:rPr>
                <w:rFonts w:eastAsia="Arial Unicode MS"/>
                <w:szCs w:val="16"/>
                <w:lang w:eastAsia="en-US"/>
              </w:rPr>
              <w:t>de la</w:t>
            </w:r>
            <w:r w:rsidRPr="00691639">
              <w:rPr>
                <w:rFonts w:eastAsia="Arial Unicode MS"/>
                <w:szCs w:val="16"/>
                <w:lang w:eastAsia="en-US"/>
              </w:rPr>
              <w:t xml:space="preserve"> intervención pública</w:t>
            </w:r>
            <w:r>
              <w:rPr>
                <w:rFonts w:eastAsia="Arial Unicode MS"/>
                <w:szCs w:val="16"/>
                <w:lang w:eastAsia="en-US"/>
              </w:rPr>
              <w:t xml:space="preserve"> “</w:t>
            </w:r>
            <w:r w:rsidRPr="00462C13">
              <w:rPr>
                <w:rFonts w:cs="Tahoma"/>
              </w:rPr>
              <w:t>Atención a los Flujos Migratorios Mixtos</w:t>
            </w:r>
            <w:r>
              <w:rPr>
                <w:rFonts w:cs="Tahoma"/>
              </w:rPr>
              <w:t>”</w:t>
            </w:r>
            <w:r w:rsidRPr="00691639">
              <w:rPr>
                <w:rFonts w:eastAsia="Arial Unicode MS"/>
                <w:szCs w:val="16"/>
                <w:lang w:eastAsia="en-US"/>
              </w:rPr>
              <w:t>.</w:t>
            </w:r>
          </w:p>
        </w:tc>
        <w:tc>
          <w:tcPr>
            <w:tcW w:w="306" w:type="pct"/>
            <w:vMerge w:val="restart"/>
            <w:tcBorders>
              <w:top w:val="single" w:sz="12" w:space="0" w:color="FFFFFF"/>
              <w:left w:val="single" w:sz="12" w:space="0" w:color="FFFFFF"/>
              <w:right w:val="single" w:sz="12" w:space="0" w:color="FFFFFF"/>
            </w:tcBorders>
            <w:shd w:val="clear" w:color="auto" w:fill="F2F2F2" w:themeFill="background1" w:themeFillShade="F2"/>
          </w:tcPr>
          <w:p w14:paraId="78490137" w14:textId="46363521" w:rsidR="006D3EDA" w:rsidRPr="00B11403" w:rsidRDefault="006007E5"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6007E5">
              <w:rPr>
                <w:rFonts w:cs="Tahoma"/>
                <w:szCs w:val="16"/>
              </w:rPr>
              <w:t>467.000.000,00</w:t>
            </w:r>
          </w:p>
        </w:tc>
        <w:tc>
          <w:tcPr>
            <w:tcW w:w="279" w:type="pct"/>
            <w:vMerge w:val="restart"/>
            <w:tcBorders>
              <w:top w:val="single" w:sz="12" w:space="0" w:color="FFFFFF"/>
              <w:left w:val="single" w:sz="12" w:space="0" w:color="FFFFFF"/>
              <w:right w:val="single" w:sz="12" w:space="0" w:color="FFFFFF"/>
            </w:tcBorders>
            <w:shd w:val="clear" w:color="auto" w:fill="F2F2F2" w:themeFill="background1" w:themeFillShade="F2"/>
          </w:tcPr>
          <w:p w14:paraId="23C094F7" w14:textId="77777777" w:rsidR="006D3EDA" w:rsidRPr="00B1140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173CC6">
              <w:rPr>
                <w:rFonts w:cs="Tahoma"/>
                <w:szCs w:val="16"/>
              </w:rPr>
              <w:t>No aplica</w:t>
            </w:r>
          </w:p>
        </w:tc>
        <w:tc>
          <w:tcPr>
            <w:tcW w:w="26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E1F967B"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674B90">
              <w:rPr>
                <w:rFonts w:cs="Tahoma"/>
                <w:szCs w:val="16"/>
              </w:rPr>
              <w:t>Dirección General de Migración y Extranjería</w:t>
            </w:r>
          </w:p>
        </w:tc>
        <w:tc>
          <w:tcPr>
            <w:tcW w:w="195" w:type="pct"/>
            <w:tcBorders>
              <w:top w:val="single" w:sz="12" w:space="0" w:color="FFFFFF"/>
              <w:left w:val="single" w:sz="12" w:space="0" w:color="FFFFFF"/>
              <w:bottom w:val="single" w:sz="12" w:space="0" w:color="FFFFFF"/>
              <w:right w:val="single" w:sz="12" w:space="0" w:color="FFFFFF"/>
            </w:tcBorders>
            <w:shd w:val="clear" w:color="auto" w:fill="92D050"/>
          </w:tcPr>
          <w:p w14:paraId="0CDCC2DB"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C43FB6">
              <w:rPr>
                <w:rFonts w:cs="Tahoma"/>
                <w:b/>
                <w:szCs w:val="16"/>
              </w:rPr>
              <w:t>Cumplimiento alto</w:t>
            </w:r>
          </w:p>
        </w:tc>
        <w:tc>
          <w:tcPr>
            <w:tcW w:w="2183"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0C2BFAB1" w14:textId="77777777" w:rsidR="006D3EDA" w:rsidRDefault="006D3ED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Logros </w:t>
            </w:r>
          </w:p>
          <w:p w14:paraId="6270ED12" w14:textId="77777777" w:rsidR="004F1D4C" w:rsidRPr="004F1D4C" w:rsidRDefault="004F1D4C" w:rsidP="004F1D4C">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4F1D4C">
              <w:rPr>
                <w:rFonts w:cs="Tahoma"/>
                <w:szCs w:val="16"/>
              </w:rPr>
              <w:t xml:space="preserve">Durante el año 2025 se recibieron 25.738 solicitudes de refugio de personas extranjeras, a las cuales se le otorgó el permiso de trabajo, esto acorde a lo establecido en el Decreto </w:t>
            </w:r>
            <w:proofErr w:type="spellStart"/>
            <w:r w:rsidRPr="004F1D4C">
              <w:rPr>
                <w:rFonts w:cs="Tahoma"/>
                <w:szCs w:val="16"/>
              </w:rPr>
              <w:t>N°</w:t>
            </w:r>
            <w:proofErr w:type="spellEnd"/>
            <w:r w:rsidRPr="004F1D4C">
              <w:rPr>
                <w:rFonts w:cs="Tahoma"/>
                <w:szCs w:val="16"/>
              </w:rPr>
              <w:t xml:space="preserve"> 44501-MGP del 14 de junio del 2024 de los artículos 14,54,59,121,122 y 140 del Reglamento de Personas Refugiadas, Decreto Ejecutivo N 36831-G del 28 de setiembre de 2011 y Derogatoria del Transitorio único del decreto ejecutivo N 36831-G y de la Circular D.JUR. -0204-12-2022-ABM de la Dirección General de Migración y Extranjería. En lo que interesa es la reforma del artículo 54, el cual establece que se extenderá un documento provisional, que acreditará temporalmente su situación migratoria y que a la vez ese mismo documento le otorga a la persona solicitante mayor de edad, la posibilidad de realizar labores remuneradas por cuenta propia o en relación de dependencia.</w:t>
            </w:r>
          </w:p>
          <w:p w14:paraId="2143A827" w14:textId="77777777" w:rsidR="004F1D4C" w:rsidRPr="004F1D4C" w:rsidRDefault="004F1D4C" w:rsidP="004F1D4C">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53691304" w14:textId="3B96A720" w:rsidR="006D3EDA" w:rsidRPr="00901AAE" w:rsidRDefault="004F1D4C" w:rsidP="004F1D4C">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4F1D4C">
              <w:rPr>
                <w:rFonts w:cs="Tahoma"/>
                <w:szCs w:val="16"/>
              </w:rPr>
              <w:t>Es importante resaltar que los solicitantes de refugio requieren contar con los medios de subsistencia suficientes para mantenerse en el país hasta tanto no se le resuelva su reconocimiento como refugiado, es por ello que se le brinda a esta población este beneficio para su estadía en el país de manera segura.</w:t>
            </w:r>
          </w:p>
        </w:tc>
      </w:tr>
      <w:tr w:rsidR="00784E8F" w:rsidRPr="00462C13" w14:paraId="7A303243" w14:textId="77777777" w:rsidTr="00784E8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2"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B5483C4" w14:textId="4CD970DF" w:rsidR="006D3EDA" w:rsidRPr="00462C13" w:rsidRDefault="006D3EDA" w:rsidP="005B79CC">
            <w:pPr>
              <w:jc w:val="both"/>
              <w:rPr>
                <w:rFonts w:cs="Tahoma"/>
                <w:szCs w:val="16"/>
              </w:rPr>
            </w:pPr>
            <w:r w:rsidRPr="00462C13">
              <w:rPr>
                <w:rFonts w:cs="Tahoma"/>
                <w:b/>
                <w:bCs w:val="0"/>
                <w:szCs w:val="22"/>
              </w:rPr>
              <w:t xml:space="preserve">3.1. </w:t>
            </w:r>
            <w:r w:rsidRPr="00462C13">
              <w:rPr>
                <w:rFonts w:cs="Tahoma"/>
                <w:bCs w:val="0"/>
                <w:szCs w:val="22"/>
              </w:rPr>
              <w:t>Promover una migración ordenada, segura y regular, mediante la atención de los Flujos Migratorios Mixtos que ingresen o permanezcan en nuestro país.</w:t>
            </w:r>
          </w:p>
        </w:tc>
        <w:tc>
          <w:tcPr>
            <w:tcW w:w="29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44FB72A" w14:textId="77777777" w:rsidR="006D3EDA" w:rsidRPr="00462C13" w:rsidRDefault="006D3EDA" w:rsidP="005B79C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ahoma"/>
                <w:szCs w:val="16"/>
              </w:rPr>
            </w:pPr>
            <w:r w:rsidRPr="00462C13">
              <w:rPr>
                <w:rFonts w:cs="Tahoma"/>
                <w:b/>
                <w:bCs/>
                <w:szCs w:val="22"/>
              </w:rPr>
              <w:t>A.3.1.2</w:t>
            </w:r>
            <w:r w:rsidRPr="00462C13">
              <w:rPr>
                <w:rFonts w:cs="Tahoma"/>
                <w:szCs w:val="22"/>
              </w:rPr>
              <w:t xml:space="preserve"> Porcentaje acumulado de personas extranjeras que tramitan regularización migratoria a través del programa </w:t>
            </w:r>
            <w:proofErr w:type="spellStart"/>
            <w:r w:rsidRPr="00462C13">
              <w:rPr>
                <w:rFonts w:cs="Tahoma"/>
                <w:szCs w:val="22"/>
              </w:rPr>
              <w:t>migramóvil</w:t>
            </w:r>
            <w:proofErr w:type="spellEnd"/>
            <w:r w:rsidRPr="00462C13">
              <w:rPr>
                <w:rFonts w:cs="Tahoma"/>
                <w:szCs w:val="22"/>
              </w:rPr>
              <w:t>.</w:t>
            </w:r>
          </w:p>
        </w:tc>
        <w:tc>
          <w:tcPr>
            <w:tcW w:w="25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132BE1B" w14:textId="77777777" w:rsidR="006D3EDA" w:rsidRPr="00462C13" w:rsidRDefault="006D3EDA" w:rsidP="00EB120C">
            <w:pPr>
              <w:jc w:val="left"/>
              <w:cnfStyle w:val="000000010000" w:firstRow="0" w:lastRow="0" w:firstColumn="0" w:lastColumn="0" w:oddVBand="0" w:evenVBand="0" w:oddHBand="0" w:evenHBand="1" w:firstRowFirstColumn="0" w:firstRowLastColumn="0" w:lastRowFirstColumn="0" w:lastRowLastColumn="0"/>
              <w:rPr>
                <w:rFonts w:cs="Tahoma"/>
                <w:szCs w:val="16"/>
              </w:rPr>
            </w:pPr>
            <w:r w:rsidRPr="00462C13">
              <w:rPr>
                <w:rFonts w:cs="Tahoma"/>
                <w:b/>
                <w:bCs/>
                <w:szCs w:val="22"/>
              </w:rPr>
              <w:t xml:space="preserve">2023-2026: </w:t>
            </w:r>
            <w:r w:rsidRPr="00462C13">
              <w:rPr>
                <w:rFonts w:cs="Tahoma"/>
                <w:szCs w:val="22"/>
              </w:rPr>
              <w:t>24%</w:t>
            </w:r>
            <w:r w:rsidRPr="00462C13">
              <w:rPr>
                <w:rFonts w:cs="Tahoma"/>
                <w:szCs w:val="22"/>
              </w:rPr>
              <w:br/>
            </w:r>
            <w:r w:rsidRPr="00462C13">
              <w:rPr>
                <w:rFonts w:cs="Tahoma"/>
                <w:szCs w:val="22"/>
              </w:rPr>
              <w:br/>
              <w:t xml:space="preserve">2023: 21% </w:t>
            </w:r>
            <w:r w:rsidRPr="00462C13">
              <w:rPr>
                <w:rFonts w:cs="Tahoma"/>
                <w:szCs w:val="22"/>
              </w:rPr>
              <w:br/>
              <w:t xml:space="preserve">2024: 22% </w:t>
            </w:r>
            <w:r w:rsidRPr="00462C13">
              <w:rPr>
                <w:rFonts w:cs="Tahoma"/>
                <w:szCs w:val="22"/>
              </w:rPr>
              <w:br/>
              <w:t xml:space="preserve">2025: 23% </w:t>
            </w:r>
            <w:r w:rsidRPr="00462C13">
              <w:rPr>
                <w:rFonts w:cs="Tahoma"/>
                <w:szCs w:val="22"/>
              </w:rPr>
              <w:br/>
              <w:t>2026: 24%</w:t>
            </w:r>
          </w:p>
        </w:tc>
        <w:tc>
          <w:tcPr>
            <w:tcW w:w="15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2B3ECEB" w14:textId="51C20F18" w:rsidR="006D3EDA" w:rsidRPr="00CE7843" w:rsidRDefault="006D3EDA" w:rsidP="005B79CC">
            <w:pPr>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8"/>
                <w:bdr w:val="none" w:sz="0" w:space="0" w:color="auto" w:frame="1"/>
              </w:rPr>
            </w:pPr>
            <w:r w:rsidRPr="00462C13">
              <w:rPr>
                <w:rFonts w:cs="Tahoma"/>
                <w:bCs/>
                <w:szCs w:val="22"/>
              </w:rPr>
              <w:t>2</w:t>
            </w:r>
            <w:r w:rsidR="00EB120C">
              <w:rPr>
                <w:rFonts w:cs="Tahoma"/>
                <w:bCs/>
                <w:szCs w:val="22"/>
              </w:rPr>
              <w:t>3</w:t>
            </w:r>
            <w:r w:rsidRPr="00462C13">
              <w:rPr>
                <w:rFonts w:cs="Tahoma"/>
                <w:bCs/>
                <w:szCs w:val="22"/>
              </w:rPr>
              <w:t>%</w:t>
            </w:r>
          </w:p>
        </w:tc>
        <w:tc>
          <w:tcPr>
            <w:tcW w:w="2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B94EEC6" w14:textId="48A0CCFB" w:rsidR="006D3EDA" w:rsidRPr="00EB120C" w:rsidRDefault="00194731" w:rsidP="005B79CC">
            <w:pPr>
              <w:jc w:val="center"/>
              <w:cnfStyle w:val="000000010000" w:firstRow="0" w:lastRow="0" w:firstColumn="0" w:lastColumn="0" w:oddVBand="0" w:evenVBand="0" w:oddHBand="0" w:evenHBand="1" w:firstRowFirstColumn="0" w:firstRowLastColumn="0" w:lastRowFirstColumn="0" w:lastRowLastColumn="0"/>
              <w:rPr>
                <w:rFonts w:cs="Tahoma"/>
                <w:szCs w:val="16"/>
                <w:highlight w:val="yellow"/>
              </w:rPr>
            </w:pPr>
            <w:r w:rsidRPr="00194731">
              <w:rPr>
                <w:rFonts w:cs="Tahoma"/>
                <w:szCs w:val="16"/>
              </w:rPr>
              <w:t>18,43</w:t>
            </w:r>
            <w:r>
              <w:rPr>
                <w:rFonts w:cs="Tahoma"/>
                <w:szCs w:val="16"/>
              </w:rPr>
              <w:t>%</w:t>
            </w:r>
          </w:p>
        </w:tc>
        <w:tc>
          <w:tcPr>
            <w:tcW w:w="201"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B99286E" w14:textId="5F336BD6" w:rsidR="006D3EDA" w:rsidRPr="00EB120C" w:rsidRDefault="006D3EDA" w:rsidP="005B79CC">
            <w:pPr>
              <w:cnfStyle w:val="000000010000" w:firstRow="0" w:lastRow="0" w:firstColumn="0" w:lastColumn="0" w:oddVBand="0" w:evenVBand="0" w:oddHBand="0" w:evenHBand="1" w:firstRowFirstColumn="0" w:firstRowLastColumn="0" w:lastRowFirstColumn="0" w:lastRowLastColumn="0"/>
              <w:rPr>
                <w:rFonts w:cs="Tahoma"/>
                <w:szCs w:val="16"/>
                <w:highlight w:val="yellow"/>
              </w:rPr>
            </w:pPr>
            <w:r w:rsidRPr="00194731">
              <w:rPr>
                <w:rFonts w:cs="Tahoma"/>
                <w:szCs w:val="16"/>
              </w:rPr>
              <w:t>8</w:t>
            </w:r>
            <w:r w:rsidR="00194731" w:rsidRPr="00194731">
              <w:rPr>
                <w:rFonts w:cs="Tahoma"/>
                <w:szCs w:val="16"/>
              </w:rPr>
              <w:t>0</w:t>
            </w:r>
            <w:r w:rsidRPr="00194731">
              <w:rPr>
                <w:rFonts w:cs="Tahoma"/>
                <w:szCs w:val="16"/>
              </w:rPr>
              <w:t>,</w:t>
            </w:r>
            <w:r w:rsidR="00194731" w:rsidRPr="00194731">
              <w:rPr>
                <w:rFonts w:cs="Tahoma"/>
                <w:szCs w:val="16"/>
              </w:rPr>
              <w:t>13</w:t>
            </w:r>
            <w:r w:rsidRPr="00194731">
              <w:rPr>
                <w:rFonts w:cs="Tahoma"/>
                <w:szCs w:val="16"/>
              </w:rPr>
              <w:t>%</w:t>
            </w:r>
          </w:p>
        </w:tc>
        <w:tc>
          <w:tcPr>
            <w:tcW w:w="306" w:type="pct"/>
            <w:vMerge/>
            <w:tcBorders>
              <w:left w:val="single" w:sz="12" w:space="0" w:color="FFFFFF"/>
              <w:right w:val="single" w:sz="12" w:space="0" w:color="FFFFFF"/>
            </w:tcBorders>
            <w:shd w:val="clear" w:color="auto" w:fill="F2F2F2" w:themeFill="background1" w:themeFillShade="F2"/>
          </w:tcPr>
          <w:p w14:paraId="5DB0B93C" w14:textId="77777777" w:rsidR="006D3EDA" w:rsidRPr="00462C13" w:rsidRDefault="006D3EDA" w:rsidP="005B79CC">
            <w:pPr>
              <w:cnfStyle w:val="000000010000" w:firstRow="0" w:lastRow="0" w:firstColumn="0" w:lastColumn="0" w:oddVBand="0" w:evenVBand="0" w:oddHBand="0" w:evenHBand="1" w:firstRowFirstColumn="0" w:firstRowLastColumn="0" w:lastRowFirstColumn="0" w:lastRowLastColumn="0"/>
              <w:rPr>
                <w:rFonts w:cs="Tahoma"/>
                <w:szCs w:val="16"/>
              </w:rPr>
            </w:pPr>
          </w:p>
        </w:tc>
        <w:tc>
          <w:tcPr>
            <w:tcW w:w="306" w:type="pct"/>
            <w:vMerge/>
            <w:tcBorders>
              <w:left w:val="single" w:sz="12" w:space="0" w:color="FFFFFF"/>
              <w:right w:val="single" w:sz="12" w:space="0" w:color="FFFFFF"/>
            </w:tcBorders>
            <w:shd w:val="clear" w:color="auto" w:fill="F2F2F2" w:themeFill="background1" w:themeFillShade="F2"/>
          </w:tcPr>
          <w:p w14:paraId="5FBF1241" w14:textId="77777777" w:rsidR="006D3EDA" w:rsidRPr="00462C13" w:rsidRDefault="006D3EDA" w:rsidP="005B79CC">
            <w:pPr>
              <w:cnfStyle w:val="000000010000" w:firstRow="0" w:lastRow="0" w:firstColumn="0" w:lastColumn="0" w:oddVBand="0" w:evenVBand="0" w:oddHBand="0" w:evenHBand="1" w:firstRowFirstColumn="0" w:firstRowLastColumn="0" w:lastRowFirstColumn="0" w:lastRowLastColumn="0"/>
              <w:rPr>
                <w:rFonts w:cs="Tahoma"/>
                <w:szCs w:val="16"/>
              </w:rPr>
            </w:pPr>
          </w:p>
        </w:tc>
        <w:tc>
          <w:tcPr>
            <w:tcW w:w="279" w:type="pct"/>
            <w:vMerge/>
            <w:tcBorders>
              <w:left w:val="single" w:sz="12" w:space="0" w:color="FFFFFF"/>
              <w:right w:val="single" w:sz="12" w:space="0" w:color="FFFFFF"/>
            </w:tcBorders>
            <w:shd w:val="clear" w:color="auto" w:fill="F2F2F2" w:themeFill="background1" w:themeFillShade="F2"/>
          </w:tcPr>
          <w:p w14:paraId="402C3130" w14:textId="77777777" w:rsidR="006D3EDA" w:rsidRPr="00462C13" w:rsidRDefault="006D3EDA" w:rsidP="005B79CC">
            <w:pPr>
              <w:jc w:val="center"/>
              <w:cnfStyle w:val="000000010000" w:firstRow="0" w:lastRow="0" w:firstColumn="0" w:lastColumn="0" w:oddVBand="0" w:evenVBand="0" w:oddHBand="0" w:evenHBand="1" w:firstRowFirstColumn="0" w:firstRowLastColumn="0" w:lastRowFirstColumn="0" w:lastRowLastColumn="0"/>
              <w:rPr>
                <w:rFonts w:cs="Tahoma"/>
                <w:szCs w:val="16"/>
              </w:rPr>
            </w:pPr>
          </w:p>
        </w:tc>
        <w:tc>
          <w:tcPr>
            <w:tcW w:w="26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A67D5A7" w14:textId="77777777" w:rsidR="006D3EDA" w:rsidRPr="00462C13" w:rsidRDefault="006D3EDA" w:rsidP="005B79CC">
            <w:pPr>
              <w:jc w:val="center"/>
              <w:cnfStyle w:val="000000010000" w:firstRow="0" w:lastRow="0" w:firstColumn="0" w:lastColumn="0" w:oddVBand="0" w:evenVBand="0" w:oddHBand="0" w:evenHBand="1" w:firstRowFirstColumn="0" w:firstRowLastColumn="0" w:lastRowFirstColumn="0" w:lastRowLastColumn="0"/>
              <w:rPr>
                <w:rFonts w:cs="Tahoma"/>
                <w:szCs w:val="16"/>
              </w:rPr>
            </w:pPr>
            <w:r w:rsidRPr="00674B90">
              <w:rPr>
                <w:rFonts w:cs="Tahoma"/>
                <w:szCs w:val="16"/>
              </w:rPr>
              <w:t>Dirección General de Migración y Extranjería</w:t>
            </w:r>
          </w:p>
        </w:tc>
        <w:tc>
          <w:tcPr>
            <w:tcW w:w="195" w:type="pct"/>
            <w:tcBorders>
              <w:top w:val="single" w:sz="12" w:space="0" w:color="FFFFFF"/>
              <w:left w:val="single" w:sz="12" w:space="0" w:color="FFFFFF"/>
              <w:bottom w:val="single" w:sz="12" w:space="0" w:color="FFFFFF"/>
              <w:right w:val="single" w:sz="12" w:space="0" w:color="FFFFFF"/>
            </w:tcBorders>
            <w:shd w:val="clear" w:color="auto" w:fill="FFFF00"/>
          </w:tcPr>
          <w:p w14:paraId="7C7C51FD" w14:textId="77777777" w:rsidR="006D3EDA" w:rsidRPr="00462C13" w:rsidRDefault="006D3EDA" w:rsidP="005B79CC">
            <w:pPr>
              <w:jc w:val="center"/>
              <w:cnfStyle w:val="000000010000" w:firstRow="0" w:lastRow="0" w:firstColumn="0" w:lastColumn="0" w:oddVBand="0" w:evenVBand="0" w:oddHBand="0" w:evenHBand="1" w:firstRowFirstColumn="0" w:firstRowLastColumn="0" w:lastRowFirstColumn="0" w:lastRowLastColumn="0"/>
              <w:rPr>
                <w:rFonts w:cs="Tahoma"/>
                <w:b/>
                <w:szCs w:val="16"/>
              </w:rPr>
            </w:pPr>
            <w:r w:rsidRPr="00C43FB6">
              <w:rPr>
                <w:rFonts w:cs="Tahoma"/>
                <w:b/>
                <w:szCs w:val="16"/>
              </w:rPr>
              <w:t xml:space="preserve">Cumplimiento </w:t>
            </w:r>
            <w:r>
              <w:rPr>
                <w:rFonts w:cs="Tahoma"/>
                <w:b/>
                <w:szCs w:val="16"/>
              </w:rPr>
              <w:t>medio</w:t>
            </w:r>
          </w:p>
        </w:tc>
        <w:tc>
          <w:tcPr>
            <w:tcW w:w="2183"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8624D85" w14:textId="77777777" w:rsidR="006D3EDA" w:rsidRDefault="006D3EDA" w:rsidP="005B79CC">
            <w:p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r w:rsidRPr="00674B90">
              <w:rPr>
                <w:rFonts w:cs="Tahoma"/>
                <w:b/>
                <w:szCs w:val="16"/>
              </w:rPr>
              <w:t>Obstáculos</w:t>
            </w:r>
          </w:p>
          <w:p w14:paraId="755436B3" w14:textId="77777777" w:rsidR="00366107" w:rsidRPr="00366107" w:rsidRDefault="00366107" w:rsidP="00366107">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366107">
              <w:rPr>
                <w:rFonts w:cs="Tahoma"/>
                <w:szCs w:val="16"/>
              </w:rPr>
              <w:t xml:space="preserve">Al 31 de diciembre de 2025 se tiene un acumulado de 2.832 personas atendidas en el marco del Programa </w:t>
            </w:r>
            <w:proofErr w:type="spellStart"/>
            <w:r w:rsidRPr="00366107">
              <w:rPr>
                <w:rFonts w:cs="Tahoma"/>
                <w:szCs w:val="16"/>
              </w:rPr>
              <w:t>Migramóvil</w:t>
            </w:r>
            <w:proofErr w:type="spellEnd"/>
            <w:r w:rsidRPr="00366107">
              <w:rPr>
                <w:rFonts w:cs="Tahoma"/>
                <w:szCs w:val="16"/>
              </w:rPr>
              <w:t>, de las cuales 522 personas se presentaron a tramitar su regularización migratoria, lo que representa un nivel de avance de 80.14% con respecto a la meta, lo cual nos da como resultado un cumplimiento medio.</w:t>
            </w:r>
          </w:p>
          <w:p w14:paraId="7321611D" w14:textId="77777777" w:rsidR="00366107" w:rsidRPr="00366107" w:rsidRDefault="00366107" w:rsidP="00366107">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366107">
              <w:rPr>
                <w:rFonts w:cs="Tahoma"/>
                <w:szCs w:val="16"/>
              </w:rPr>
              <w:t>En concordancia con los eventos identificados en la matriz de riesgos, desde el año 2024 las personas migrantes que pueden optar por regularizar su situación migratoria por primera vez o renovar su documento de identificación migratorio (DIMEX), no lo realizan por los altos costos que les implica el pago del trámite de regularización o renovación de su DIMEX, más cuando se trata de un grupo familiar donde los costos son aún mayores. (Riesgo Social)</w:t>
            </w:r>
          </w:p>
          <w:p w14:paraId="6B63F079" w14:textId="77777777" w:rsidR="00366107" w:rsidRPr="00366107" w:rsidRDefault="00366107" w:rsidP="00366107">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366107">
              <w:rPr>
                <w:rFonts w:cs="Tahoma"/>
                <w:szCs w:val="16"/>
              </w:rPr>
              <w:t xml:space="preserve">Por otro lado, en el año 2025, el recorte financiero que se aplicó por cooperantes a organizaciones no gubernamentales, Centros Municipales de Atención de Migrantes y organismos internacionales, impactó en que estas organizaciones no pudieran solicitar como en años anteriores la programación de </w:t>
            </w:r>
            <w:proofErr w:type="spellStart"/>
            <w:r w:rsidRPr="00366107">
              <w:rPr>
                <w:rFonts w:cs="Tahoma"/>
                <w:szCs w:val="16"/>
              </w:rPr>
              <w:t>Migramóviles</w:t>
            </w:r>
            <w:proofErr w:type="spellEnd"/>
            <w:r w:rsidRPr="00366107">
              <w:rPr>
                <w:rFonts w:cs="Tahoma"/>
                <w:szCs w:val="16"/>
              </w:rPr>
              <w:t>. Por tanto, la coordinación de estas actividades se enfocó a atender las solicitudes remitidas por Gobiernos Locales, principalmente los que son parte de la Federación de Municipalidad de Occidente (FEDOMA). (Riesgo Institucional)</w:t>
            </w:r>
          </w:p>
          <w:p w14:paraId="45257D7E" w14:textId="77777777" w:rsidR="006D3EDA" w:rsidRDefault="00366107" w:rsidP="00366107">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366107">
              <w:rPr>
                <w:rFonts w:cs="Tahoma"/>
                <w:szCs w:val="16"/>
              </w:rPr>
              <w:t xml:space="preserve">La DGME es reiterativa en señalar la importancia para la población migrante de contar con un estatus migratorio, lo que les brinda el acceso a los diferentes servicios que ofrece el Estado y se les respeten sus derechos tanto sociales, laborales y económicos. </w:t>
            </w:r>
          </w:p>
          <w:p w14:paraId="6470805D" w14:textId="77777777" w:rsidR="00366107" w:rsidRDefault="00366107" w:rsidP="00366107">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p>
          <w:p w14:paraId="5A5BFBD8" w14:textId="4615C52F" w:rsidR="00366107" w:rsidRDefault="00525019" w:rsidP="00366107">
            <w:p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r w:rsidRPr="00525019">
              <w:rPr>
                <w:rFonts w:cs="Tahoma"/>
                <w:b/>
                <w:szCs w:val="16"/>
              </w:rPr>
              <w:t>Lecciones aprendidas</w:t>
            </w:r>
          </w:p>
          <w:p w14:paraId="137B3F18" w14:textId="352BB345" w:rsidR="00366107" w:rsidRPr="00674B90" w:rsidRDefault="00525019" w:rsidP="00A26CDC">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525019">
              <w:rPr>
                <w:rFonts w:cs="Tahoma"/>
                <w:szCs w:val="16"/>
              </w:rPr>
              <w:t>Como era de esperarse y según lo anotado en la columna anterior, la variable que continúa incidiendo para la regularización de la población migrante esta intrínsecamente ligada al tema económico, es decir, no cuentan con medios económicos suficientes para realizar todo el proceso que implica la regularización migratoria; aspecto que no puede ser controlable por la DGME, porque son costos establecidos por la normativa aplicable, siendo así, se considera que se continuará con el incumplimiento de la meta, ya que este es un factor externo y la Administración no tiene la capacidad de solventar esta problemática.</w:t>
            </w:r>
          </w:p>
        </w:tc>
      </w:tr>
      <w:tr w:rsidR="00784E8F" w:rsidRPr="00462C13" w14:paraId="10132ED2" w14:textId="77777777" w:rsidTr="00784E8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2"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6053D89" w14:textId="77777777" w:rsidR="006D3EDA" w:rsidRPr="00462C13" w:rsidRDefault="006D3EDA" w:rsidP="005B79CC">
            <w:pPr>
              <w:jc w:val="both"/>
              <w:rPr>
                <w:rFonts w:cs="Tahoma"/>
                <w:szCs w:val="16"/>
              </w:rPr>
            </w:pPr>
            <w:r w:rsidRPr="00462C13">
              <w:rPr>
                <w:rFonts w:cs="Tahoma"/>
                <w:b/>
                <w:bCs w:val="0"/>
                <w:szCs w:val="22"/>
              </w:rPr>
              <w:t xml:space="preserve">3.1. </w:t>
            </w:r>
            <w:r w:rsidRPr="00462C13">
              <w:rPr>
                <w:rFonts w:cs="Tahoma"/>
                <w:bCs w:val="0"/>
                <w:szCs w:val="22"/>
              </w:rPr>
              <w:t>Promover una migración ordenada, segura y regular, mediante la atención de los Flujos Migratorios Mixtos que ingresen o permanezcan en nuestro país.</w:t>
            </w:r>
          </w:p>
        </w:tc>
        <w:tc>
          <w:tcPr>
            <w:tcW w:w="29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2167ABA" w14:textId="1D0D7506" w:rsidR="006D3EDA" w:rsidRPr="00462C13"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bCs/>
                <w:szCs w:val="22"/>
              </w:rPr>
              <w:t>A.3.1.3</w:t>
            </w:r>
            <w:r w:rsidRPr="00462C13">
              <w:rPr>
                <w:rFonts w:cs="Tahoma"/>
                <w:szCs w:val="22"/>
              </w:rPr>
              <w:t xml:space="preserve"> </w:t>
            </w:r>
            <w:r w:rsidR="00EB120C" w:rsidRPr="00695CB1">
              <w:rPr>
                <w:rFonts w:cs="Tahoma"/>
                <w:szCs w:val="22"/>
              </w:rPr>
              <w:t>Porcentaje de personas identificadas en los flujos migratorios mixtos que son atendidas con protocolos institucionales</w:t>
            </w:r>
            <w:r w:rsidRPr="00462C13">
              <w:rPr>
                <w:rFonts w:cs="Tahoma"/>
                <w:szCs w:val="22"/>
              </w:rPr>
              <w:t>.</w:t>
            </w:r>
          </w:p>
        </w:tc>
        <w:tc>
          <w:tcPr>
            <w:tcW w:w="25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36EEFC3" w14:textId="77777777" w:rsidR="006D3EDA" w:rsidRPr="00462C13" w:rsidRDefault="006D3EDA" w:rsidP="00EB120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bCs/>
                <w:szCs w:val="22"/>
              </w:rPr>
              <w:t xml:space="preserve">2023-2026: </w:t>
            </w:r>
            <w:r w:rsidRPr="00462C13">
              <w:rPr>
                <w:rFonts w:cs="Tahoma"/>
                <w:szCs w:val="22"/>
              </w:rPr>
              <w:t xml:space="preserve">68% </w:t>
            </w:r>
            <w:r w:rsidRPr="00462C13">
              <w:rPr>
                <w:rFonts w:cs="Tahoma"/>
                <w:szCs w:val="22"/>
              </w:rPr>
              <w:br/>
            </w:r>
            <w:r w:rsidRPr="00462C13">
              <w:rPr>
                <w:rFonts w:cs="Tahoma"/>
                <w:szCs w:val="22"/>
              </w:rPr>
              <w:br/>
              <w:t>2023: 62%</w:t>
            </w:r>
            <w:r w:rsidRPr="00462C13">
              <w:rPr>
                <w:rFonts w:cs="Tahoma"/>
                <w:szCs w:val="22"/>
              </w:rPr>
              <w:br/>
              <w:t xml:space="preserve">2024: 64% </w:t>
            </w:r>
            <w:r w:rsidRPr="00462C13">
              <w:rPr>
                <w:rFonts w:cs="Tahoma"/>
                <w:szCs w:val="22"/>
              </w:rPr>
              <w:br/>
              <w:t xml:space="preserve">2025: 66% </w:t>
            </w:r>
            <w:r w:rsidRPr="00462C13">
              <w:rPr>
                <w:rFonts w:cs="Tahoma"/>
                <w:szCs w:val="22"/>
              </w:rPr>
              <w:br/>
              <w:t>2026: 68%</w:t>
            </w:r>
          </w:p>
        </w:tc>
        <w:tc>
          <w:tcPr>
            <w:tcW w:w="15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1F0DC89" w14:textId="0A24BD5B" w:rsidR="006D3EDA" w:rsidRPr="00CE7843" w:rsidRDefault="006D3EDA" w:rsidP="005B79CC">
            <w:pPr>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8"/>
                <w:bdr w:val="none" w:sz="0" w:space="0" w:color="auto" w:frame="1"/>
              </w:rPr>
            </w:pPr>
            <w:r w:rsidRPr="00462C13">
              <w:rPr>
                <w:rFonts w:cs="Tahoma"/>
                <w:bCs/>
                <w:szCs w:val="22"/>
              </w:rPr>
              <w:t>6</w:t>
            </w:r>
            <w:r w:rsidR="00EB120C">
              <w:rPr>
                <w:rFonts w:cs="Tahoma"/>
                <w:bCs/>
                <w:szCs w:val="22"/>
              </w:rPr>
              <w:t>6</w:t>
            </w:r>
            <w:r w:rsidRPr="00462C13">
              <w:rPr>
                <w:rFonts w:cs="Tahoma"/>
                <w:bCs/>
                <w:szCs w:val="22"/>
              </w:rPr>
              <w:t>%</w:t>
            </w:r>
          </w:p>
        </w:tc>
        <w:tc>
          <w:tcPr>
            <w:tcW w:w="2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04965A9" w14:textId="4BD8A516" w:rsidR="006D3EDA" w:rsidRPr="00C55239" w:rsidRDefault="009B2F5C"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C55239">
              <w:rPr>
                <w:rFonts w:cs="Tahoma"/>
                <w:szCs w:val="16"/>
              </w:rPr>
              <w:t>98,34%</w:t>
            </w:r>
          </w:p>
        </w:tc>
        <w:tc>
          <w:tcPr>
            <w:tcW w:w="201"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ACDE1D4" w14:textId="201CE8AD" w:rsidR="006D3EDA" w:rsidRPr="00C55239" w:rsidRDefault="009B2F5C"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C55239">
              <w:rPr>
                <w:rFonts w:cs="Tahoma"/>
                <w:szCs w:val="16"/>
              </w:rPr>
              <w:t>149</w:t>
            </w:r>
            <w:r w:rsidR="006D3EDA" w:rsidRPr="00C55239">
              <w:rPr>
                <w:rFonts w:cs="Tahoma"/>
                <w:szCs w:val="16"/>
              </w:rPr>
              <w:t>,</w:t>
            </w:r>
            <w:r w:rsidRPr="00C55239">
              <w:rPr>
                <w:rFonts w:cs="Tahoma"/>
                <w:szCs w:val="16"/>
              </w:rPr>
              <w:t>00</w:t>
            </w:r>
            <w:r w:rsidR="006D3EDA" w:rsidRPr="00C55239">
              <w:rPr>
                <w:rFonts w:cs="Tahoma"/>
                <w:szCs w:val="16"/>
              </w:rPr>
              <w:t>%</w:t>
            </w:r>
          </w:p>
        </w:tc>
        <w:tc>
          <w:tcPr>
            <w:tcW w:w="306" w:type="pct"/>
            <w:vMerge/>
            <w:tcBorders>
              <w:left w:val="single" w:sz="12" w:space="0" w:color="FFFFFF"/>
              <w:bottom w:val="single" w:sz="12" w:space="0" w:color="FFFFFF"/>
              <w:right w:val="single" w:sz="12" w:space="0" w:color="FFFFFF"/>
            </w:tcBorders>
            <w:shd w:val="clear" w:color="auto" w:fill="F2F2F2" w:themeFill="background1" w:themeFillShade="F2"/>
          </w:tcPr>
          <w:p w14:paraId="275D6F43"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p>
        </w:tc>
        <w:tc>
          <w:tcPr>
            <w:tcW w:w="306" w:type="pct"/>
            <w:vMerge/>
            <w:tcBorders>
              <w:left w:val="single" w:sz="12" w:space="0" w:color="FFFFFF"/>
              <w:bottom w:val="single" w:sz="12" w:space="0" w:color="FFFFFF"/>
              <w:right w:val="single" w:sz="12" w:space="0" w:color="FFFFFF"/>
            </w:tcBorders>
            <w:shd w:val="clear" w:color="auto" w:fill="F2F2F2" w:themeFill="background1" w:themeFillShade="F2"/>
          </w:tcPr>
          <w:p w14:paraId="468230BC"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p>
        </w:tc>
        <w:tc>
          <w:tcPr>
            <w:tcW w:w="279" w:type="pct"/>
            <w:vMerge/>
            <w:tcBorders>
              <w:left w:val="single" w:sz="12" w:space="0" w:color="FFFFFF"/>
              <w:bottom w:val="single" w:sz="12" w:space="0" w:color="FFFFFF"/>
              <w:right w:val="single" w:sz="12" w:space="0" w:color="FFFFFF"/>
            </w:tcBorders>
            <w:shd w:val="clear" w:color="auto" w:fill="F2F2F2" w:themeFill="background1" w:themeFillShade="F2"/>
          </w:tcPr>
          <w:p w14:paraId="0B947C82"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p>
        </w:tc>
        <w:tc>
          <w:tcPr>
            <w:tcW w:w="26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A794365"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674B90">
              <w:rPr>
                <w:rFonts w:cs="Tahoma"/>
                <w:szCs w:val="16"/>
              </w:rPr>
              <w:t>Dirección General de Migración y Extranjería</w:t>
            </w:r>
          </w:p>
        </w:tc>
        <w:tc>
          <w:tcPr>
            <w:tcW w:w="195" w:type="pct"/>
            <w:tcBorders>
              <w:top w:val="single" w:sz="12" w:space="0" w:color="FFFFFF"/>
              <w:left w:val="single" w:sz="12" w:space="0" w:color="FFFFFF"/>
              <w:bottom w:val="single" w:sz="12" w:space="0" w:color="FFFFFF"/>
              <w:right w:val="single" w:sz="12" w:space="0" w:color="FFFFFF"/>
            </w:tcBorders>
            <w:shd w:val="clear" w:color="auto" w:fill="92D050"/>
          </w:tcPr>
          <w:p w14:paraId="791B4E0F"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b/>
                <w:szCs w:val="16"/>
              </w:rPr>
            </w:pPr>
            <w:r w:rsidRPr="00C43FB6">
              <w:rPr>
                <w:rFonts w:cs="Tahoma"/>
                <w:b/>
                <w:szCs w:val="16"/>
              </w:rPr>
              <w:t>Cumplimiento alto</w:t>
            </w:r>
          </w:p>
        </w:tc>
        <w:tc>
          <w:tcPr>
            <w:tcW w:w="2183"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78E8385" w14:textId="77777777" w:rsidR="006D3EDA" w:rsidRDefault="006D3ED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Logros </w:t>
            </w:r>
          </w:p>
          <w:p w14:paraId="52B66818" w14:textId="77777777" w:rsidR="007C4E62" w:rsidRPr="007C4E62" w:rsidRDefault="007C4E62" w:rsidP="007C4E62">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7C4E62">
              <w:rPr>
                <w:rFonts w:cs="Tahoma"/>
                <w:szCs w:val="16"/>
              </w:rPr>
              <w:t xml:space="preserve">En el año 2025 se identificaron 35.272 personas provenientes de los flujos migratorios mixtos (5.114 personas identificadas en el flujo mixto sur-norte y norte sur; y se agendaron 30.158 citas para solicitantes de refugio), mientras que el total de personas atendidas provenientes de los flujos mixtos son 34.687 (5.114 personas atendidas en el CATEM SUR de los flujos provenientes del sur-norte u norte sur; y se apersonaron 29.573 personas a la Unidad de Refugio a solicitar dicho estatus migratorio), por lo cual tenemos que 585 personas solicitantes de refugio no se presentaron a la cita </w:t>
            </w:r>
          </w:p>
          <w:p w14:paraId="3AC43FA7" w14:textId="77777777" w:rsidR="007C4E62" w:rsidRPr="007C4E62" w:rsidRDefault="007C4E62" w:rsidP="007C4E62">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15CAC8D4" w14:textId="77777777" w:rsidR="007C4E62" w:rsidRPr="007C4E62" w:rsidRDefault="007C4E62" w:rsidP="007C4E62">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7C4E62">
              <w:rPr>
                <w:rFonts w:cs="Tahoma"/>
                <w:szCs w:val="16"/>
              </w:rPr>
              <w:t>Lo anterior, nos muestra que a pesar de que la cantidad de personas bajo los flujos mixtos ha disminuido, debido a las políticas migratorias establecidas por países de destino, la Administración (DGME) continúa gestionando el Centro de Atención SUR para brindar la atención debida a esta población, quedando claro que el movimiento de personas extranjeras identificadas y atendidas de flujos mixtos depende del contexto internacional.</w:t>
            </w:r>
          </w:p>
          <w:p w14:paraId="65ECAC9B" w14:textId="77777777" w:rsidR="007C4E62" w:rsidRDefault="007C4E62" w:rsidP="007C4E62">
            <w:pPr>
              <w:ind w:left="17"/>
              <w:cnfStyle w:val="000000100000" w:firstRow="0" w:lastRow="0" w:firstColumn="0" w:lastColumn="0" w:oddVBand="0" w:evenVBand="0" w:oddHBand="1" w:evenHBand="0" w:firstRowFirstColumn="0" w:firstRowLastColumn="0" w:lastRowFirstColumn="0" w:lastRowLastColumn="0"/>
              <w:rPr>
                <w:rFonts w:cs="Tahoma"/>
                <w:szCs w:val="16"/>
              </w:rPr>
            </w:pPr>
            <w:r w:rsidRPr="007C4E62">
              <w:rPr>
                <w:rFonts w:cs="Tahoma"/>
                <w:szCs w:val="16"/>
              </w:rPr>
              <w:t>Por otro lado, se continúa brindando las citas y atención a las personas extranjeras que solicitan refugio en nuestro país, lo anterior en atención a los convenios internacionales que Costa Rica ha firmado y ratificado en materia de refugio, esto con el fin que puedan acceder a los beneficios que como ciudadanos puedan tener, tales como mejor remuneración de trabajo, acceso a la salud y demás servicios públicos</w:t>
            </w:r>
            <w:r>
              <w:rPr>
                <w:rFonts w:cs="Tahoma"/>
                <w:szCs w:val="16"/>
              </w:rPr>
              <w:t>.</w:t>
            </w:r>
          </w:p>
          <w:p w14:paraId="24E8B2D3" w14:textId="43A690E6" w:rsidR="006D3EDA" w:rsidRDefault="006D3EDA" w:rsidP="007C4E62">
            <w:pPr>
              <w:ind w:left="17"/>
              <w:cnfStyle w:val="000000100000" w:firstRow="0" w:lastRow="0" w:firstColumn="0" w:lastColumn="0" w:oddVBand="0" w:evenVBand="0" w:oddHBand="1" w:evenHBand="0" w:firstRowFirstColumn="0" w:firstRowLastColumn="0" w:lastRowFirstColumn="0" w:lastRowLastColumn="0"/>
              <w:rPr>
                <w:rFonts w:cs="Tahoma"/>
                <w:b/>
                <w:szCs w:val="16"/>
              </w:rPr>
            </w:pPr>
            <w:r w:rsidRPr="00C43FB6">
              <w:rPr>
                <w:rFonts w:cs="Tahoma"/>
                <w:b/>
                <w:szCs w:val="16"/>
              </w:rPr>
              <w:t xml:space="preserve">Factores que contribuyeron en el avance de la meta superior a 125% </w:t>
            </w:r>
          </w:p>
          <w:p w14:paraId="10FB3454" w14:textId="6F57961C" w:rsidR="006D3EDA" w:rsidRPr="007B087D" w:rsidRDefault="007C4E62" w:rsidP="00D324B4">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C4E62">
              <w:rPr>
                <w:rFonts w:cs="Tahoma"/>
                <w:szCs w:val="16"/>
              </w:rPr>
              <w:t>Tal y como se ha señalado, la superación de la meta se debe principalmente a la implementación de una estrategia de atención articulada a nivel institucional, la cual se mantiene; así como el apoyo a nivel técnico y económico, aunque limitado, de organismos internacionales como lo son ACNUR, OIM y UNICEF. A pesar de las restricciones de recursos por parte de los donantes que financian a dichas organizaciones, este apoyo ha permitido dar continuidad a la atención de estos flujos.</w:t>
            </w:r>
          </w:p>
        </w:tc>
      </w:tr>
    </w:tbl>
    <w:p w14:paraId="4AF7D986" w14:textId="5338B5E8" w:rsidR="006D3EDA" w:rsidRDefault="006D3EDA" w:rsidP="006D3EDA">
      <w:pPr>
        <w:rPr>
          <w:rFonts w:eastAsia="Arial Narrow" w:cs="Tahoma"/>
        </w:rPr>
      </w:pPr>
      <w:r w:rsidRPr="00462C13">
        <w:rPr>
          <w:rFonts w:eastAsia="Arial Narrow" w:cs="Tahoma"/>
        </w:rPr>
        <w:t>Fuente: Dirección de Integración y Desarrollo Humano y Unidad Refugio, Dirección General de Migración y Extranjería, 202</w:t>
      </w:r>
      <w:r w:rsidR="00BE34CF">
        <w:rPr>
          <w:rFonts w:eastAsia="Arial Narrow" w:cs="Tahoma"/>
        </w:rPr>
        <w:t>6</w:t>
      </w:r>
      <w:r w:rsidRPr="00462C13">
        <w:rPr>
          <w:rFonts w:eastAsia="Arial Narrow" w:cs="Tahoma"/>
        </w:rPr>
        <w:t>.</w:t>
      </w:r>
    </w:p>
    <w:p w14:paraId="171D03CB" w14:textId="77777777" w:rsidR="006D3EDA" w:rsidRPr="00462C13" w:rsidRDefault="006D3EDA" w:rsidP="006D3EDA">
      <w:pPr>
        <w:pStyle w:val="Ttulo2"/>
        <w:rPr>
          <w:rFonts w:cs="Tahoma"/>
        </w:rPr>
      </w:pPr>
      <w:bookmarkStart w:id="38" w:name="_Toc189055697"/>
      <w:bookmarkStart w:id="39" w:name="_Toc220401623"/>
      <w:r w:rsidRPr="00462C13">
        <w:rPr>
          <w:rFonts w:cs="Tahoma"/>
        </w:rPr>
        <w:lastRenderedPageBreak/>
        <w:t>Intervención Pública 4: Abordaje integral de víctimas de trata de personas.</w:t>
      </w:r>
      <w:bookmarkEnd w:id="38"/>
      <w:bookmarkEnd w:id="39"/>
    </w:p>
    <w:tbl>
      <w:tblPr>
        <w:tblStyle w:val="Tablaclsica3"/>
        <w:tblW w:w="5000" w:type="pct"/>
        <w:jc w:val="center"/>
        <w:tblLayout w:type="fixed"/>
        <w:tblLook w:val="04A0" w:firstRow="1" w:lastRow="0" w:firstColumn="1" w:lastColumn="0" w:noHBand="0" w:noVBand="1"/>
      </w:tblPr>
      <w:tblGrid>
        <w:gridCol w:w="1236"/>
        <w:gridCol w:w="1461"/>
        <w:gridCol w:w="1388"/>
        <w:gridCol w:w="674"/>
        <w:gridCol w:w="1068"/>
        <w:gridCol w:w="934"/>
        <w:gridCol w:w="1643"/>
        <w:gridCol w:w="1500"/>
        <w:gridCol w:w="1357"/>
        <w:gridCol w:w="1059"/>
        <w:gridCol w:w="1414"/>
        <w:gridCol w:w="7880"/>
      </w:tblGrid>
      <w:tr w:rsidR="006D3EDA" w:rsidRPr="00462C13" w14:paraId="7BA66313" w14:textId="77777777" w:rsidTr="0065079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86" w:type="pct"/>
            <w:vMerge w:val="restart"/>
            <w:tcBorders>
              <w:top w:val="single" w:sz="12" w:space="0" w:color="FFFFFF"/>
              <w:left w:val="single" w:sz="12" w:space="0" w:color="FFFFFF"/>
              <w:bottom w:val="single" w:sz="12" w:space="0" w:color="FFFFFF"/>
              <w:right w:val="single" w:sz="12" w:space="0" w:color="FFFFFF"/>
            </w:tcBorders>
            <w:shd w:val="clear" w:color="auto" w:fill="003A70"/>
          </w:tcPr>
          <w:p w14:paraId="31ECF120" w14:textId="77777777" w:rsidR="006D3EDA" w:rsidRPr="00462C13" w:rsidRDefault="006D3EDA" w:rsidP="005B79CC">
            <w:pPr>
              <w:rPr>
                <w:rFonts w:eastAsia="Arial Unicode MS" w:cs="Tahoma"/>
                <w:szCs w:val="16"/>
                <w:bdr w:val="none" w:sz="0" w:space="0" w:color="auto" w:frame="1"/>
              </w:rPr>
            </w:pPr>
            <w:r w:rsidRPr="00462C13">
              <w:rPr>
                <w:rFonts w:eastAsia="Arial Unicode MS" w:cs="Tahoma"/>
                <w:szCs w:val="16"/>
                <w:bdr w:val="none" w:sz="0" w:space="0" w:color="auto" w:frame="1"/>
              </w:rPr>
              <w:t xml:space="preserve">Objetivo </w:t>
            </w:r>
          </w:p>
        </w:tc>
        <w:tc>
          <w:tcPr>
            <w:tcW w:w="659" w:type="pct"/>
            <w:gridSpan w:val="2"/>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69EB27BF"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xml:space="preserve">Programación </w:t>
            </w:r>
          </w:p>
          <w:p w14:paraId="7D60C364"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PNDIP 2023-2026</w:t>
            </w:r>
          </w:p>
        </w:tc>
        <w:tc>
          <w:tcPr>
            <w:tcW w:w="4055" w:type="pct"/>
            <w:gridSpan w:val="9"/>
            <w:tcBorders>
              <w:top w:val="single" w:sz="12" w:space="0" w:color="FFFFFF"/>
              <w:left w:val="single" w:sz="12" w:space="0" w:color="FFFFFF"/>
              <w:bottom w:val="single" w:sz="12" w:space="0" w:color="FFFFFF"/>
              <w:right w:val="single" w:sz="12" w:space="0" w:color="FFFFFF"/>
            </w:tcBorders>
            <w:shd w:val="clear" w:color="auto" w:fill="003A70"/>
          </w:tcPr>
          <w:p w14:paraId="0434E0F2" w14:textId="2E2BE915"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224BD7">
              <w:rPr>
                <w:rFonts w:eastAsia="Arial Unicode MS" w:cs="Tahoma"/>
                <w:szCs w:val="16"/>
                <w:bdr w:val="none" w:sz="0" w:space="0" w:color="auto" w:frame="1"/>
              </w:rPr>
              <w:t xml:space="preserve">Seguimiento </w:t>
            </w:r>
            <w:r>
              <w:rPr>
                <w:rFonts w:eastAsia="Arial Unicode MS" w:cs="Tahoma"/>
                <w:szCs w:val="16"/>
                <w:bdr w:val="none" w:sz="0" w:space="0" w:color="auto" w:frame="1"/>
              </w:rPr>
              <w:t xml:space="preserve">Anual </w:t>
            </w:r>
            <w:r w:rsidRPr="00224BD7">
              <w:rPr>
                <w:rFonts w:eastAsia="Arial Unicode MS" w:cs="Tahoma"/>
                <w:szCs w:val="16"/>
                <w:bdr w:val="none" w:sz="0" w:space="0" w:color="auto" w:frame="1"/>
              </w:rPr>
              <w:t>202</w:t>
            </w:r>
            <w:r w:rsidR="004B4F07">
              <w:rPr>
                <w:rFonts w:eastAsia="Arial Unicode MS" w:cs="Tahoma"/>
                <w:szCs w:val="16"/>
                <w:bdr w:val="none" w:sz="0" w:space="0" w:color="auto" w:frame="1"/>
              </w:rPr>
              <w:t>5</w:t>
            </w:r>
          </w:p>
        </w:tc>
      </w:tr>
      <w:tr w:rsidR="00B705B0" w:rsidRPr="00462C13" w14:paraId="349B5A50" w14:textId="77777777" w:rsidTr="0065079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86" w:type="pct"/>
            <w:vMerge/>
            <w:tcBorders>
              <w:top w:val="single" w:sz="12" w:space="0" w:color="FFFFFF"/>
              <w:left w:val="single" w:sz="12" w:space="0" w:color="FFFFFF"/>
              <w:bottom w:val="single" w:sz="12" w:space="0" w:color="FFFFFF"/>
              <w:right w:val="single" w:sz="12" w:space="0" w:color="FFFFFF"/>
            </w:tcBorders>
            <w:shd w:val="clear" w:color="auto" w:fill="003A70"/>
            <w:hideMark/>
          </w:tcPr>
          <w:p w14:paraId="3933D4D3" w14:textId="77777777" w:rsidR="006D3EDA" w:rsidRPr="00462C13" w:rsidRDefault="006D3EDA" w:rsidP="005B79CC">
            <w:pPr>
              <w:rPr>
                <w:rFonts w:eastAsia="Arial Unicode MS" w:cs="Tahoma"/>
                <w:szCs w:val="16"/>
                <w:bdr w:val="none" w:sz="0" w:space="0" w:color="auto" w:frame="1"/>
              </w:rPr>
            </w:pPr>
          </w:p>
        </w:tc>
        <w:tc>
          <w:tcPr>
            <w:tcW w:w="659" w:type="pct"/>
            <w:gridSpan w:val="2"/>
            <w:vMerge/>
            <w:tcBorders>
              <w:top w:val="single" w:sz="12" w:space="0" w:color="FFFFFF"/>
              <w:left w:val="single" w:sz="12" w:space="0" w:color="FFFFFF"/>
              <w:bottom w:val="single" w:sz="12" w:space="0" w:color="FFFFFF"/>
              <w:right w:val="single" w:sz="12" w:space="0" w:color="FFFFFF"/>
            </w:tcBorders>
            <w:shd w:val="clear" w:color="auto" w:fill="003A70"/>
            <w:hideMark/>
          </w:tcPr>
          <w:p w14:paraId="1478857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56" w:type="pct"/>
            <w:vMerge w:val="restart"/>
            <w:tcBorders>
              <w:top w:val="single" w:sz="12" w:space="0" w:color="FFFFFF"/>
              <w:left w:val="single" w:sz="12" w:space="0" w:color="FFFFFF"/>
              <w:right w:val="single" w:sz="12" w:space="0" w:color="FFFFFF"/>
            </w:tcBorders>
            <w:shd w:val="clear" w:color="auto" w:fill="003A70"/>
            <w:hideMark/>
          </w:tcPr>
          <w:p w14:paraId="6EA5AFE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Meta Anual</w:t>
            </w:r>
          </w:p>
        </w:tc>
        <w:tc>
          <w:tcPr>
            <w:tcW w:w="247"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655AF4AE"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Absoluto</w:t>
            </w:r>
          </w:p>
        </w:tc>
        <w:tc>
          <w:tcPr>
            <w:tcW w:w="216" w:type="pct"/>
            <w:vMerge w:val="restart"/>
            <w:tcBorders>
              <w:top w:val="single" w:sz="12" w:space="0" w:color="FFFFFF"/>
              <w:left w:val="single" w:sz="12" w:space="0" w:color="FFFFFF"/>
              <w:right w:val="single" w:sz="12" w:space="0" w:color="FFFFFF"/>
            </w:tcBorders>
            <w:shd w:val="clear" w:color="auto" w:fill="003A70"/>
            <w:hideMark/>
          </w:tcPr>
          <w:p w14:paraId="6D69B277"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de avance</w:t>
            </w:r>
          </w:p>
        </w:tc>
        <w:tc>
          <w:tcPr>
            <w:tcW w:w="1041" w:type="pct"/>
            <w:gridSpan w:val="3"/>
            <w:tcBorders>
              <w:top w:val="single" w:sz="12" w:space="0" w:color="FFFFFF"/>
              <w:left w:val="single" w:sz="12" w:space="0" w:color="FFFFFF"/>
              <w:bottom w:val="single" w:sz="4" w:space="0" w:color="auto"/>
              <w:right w:val="single" w:sz="12" w:space="0" w:color="FFFFFF"/>
            </w:tcBorders>
            <w:shd w:val="clear" w:color="auto" w:fill="003A70"/>
          </w:tcPr>
          <w:p w14:paraId="0AF077B8" w14:textId="2382E40A"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Presupuesto 202</w:t>
            </w:r>
            <w:r w:rsidR="004B4F07">
              <w:rPr>
                <w:rFonts w:eastAsia="Arial Unicode MS" w:cs="Tahoma"/>
                <w:szCs w:val="16"/>
                <w:bdr w:val="none" w:sz="0" w:space="0" w:color="auto" w:frame="1"/>
              </w:rPr>
              <w:t>5</w:t>
            </w:r>
          </w:p>
        </w:tc>
        <w:tc>
          <w:tcPr>
            <w:tcW w:w="245" w:type="pct"/>
            <w:vMerge w:val="restart"/>
            <w:tcBorders>
              <w:top w:val="single" w:sz="12" w:space="0" w:color="FFFFFF"/>
              <w:left w:val="single" w:sz="12" w:space="0" w:color="FFFFFF"/>
              <w:right w:val="single" w:sz="12" w:space="0" w:color="FFFFFF"/>
            </w:tcBorders>
            <w:shd w:val="clear" w:color="auto" w:fill="003A70"/>
          </w:tcPr>
          <w:p w14:paraId="462D8451"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Responsable</w:t>
            </w:r>
          </w:p>
        </w:tc>
        <w:tc>
          <w:tcPr>
            <w:tcW w:w="327"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5B39F349"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BF3111">
              <w:rPr>
                <w:rFonts w:eastAsia="Arial Unicode MS" w:cs="Tahoma"/>
                <w:szCs w:val="16"/>
                <w:bdr w:val="none" w:sz="0" w:space="0" w:color="auto" w:frame="1"/>
              </w:rPr>
              <w:t>Clasificación de cumplimiento</w:t>
            </w:r>
          </w:p>
        </w:tc>
        <w:tc>
          <w:tcPr>
            <w:tcW w:w="1823"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59372BE2"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vertAlign w:val="superscript"/>
              </w:rPr>
            </w:pPr>
            <w:r w:rsidRPr="007B087D">
              <w:rPr>
                <w:rFonts w:eastAsia="Arial Unicode MS" w:cs="Tahoma"/>
                <w:sz w:val="24"/>
                <w:szCs w:val="16"/>
                <w:bdr w:val="none" w:sz="0" w:space="0" w:color="auto" w:frame="1"/>
              </w:rPr>
              <w:t xml:space="preserve">Logros </w:t>
            </w:r>
          </w:p>
        </w:tc>
      </w:tr>
      <w:tr w:rsidR="00B705B0" w:rsidRPr="00462C13" w14:paraId="7BB7DB10" w14:textId="77777777" w:rsidTr="0065079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86" w:type="pct"/>
            <w:vMerge/>
            <w:tcBorders>
              <w:top w:val="single" w:sz="12" w:space="0" w:color="FFFFFF"/>
              <w:left w:val="single" w:sz="12" w:space="0" w:color="FFFFFF"/>
              <w:bottom w:val="single" w:sz="12" w:space="0" w:color="FFFFFF"/>
              <w:right w:val="single" w:sz="12" w:space="0" w:color="FFFFFF"/>
            </w:tcBorders>
            <w:hideMark/>
          </w:tcPr>
          <w:p w14:paraId="46E48767" w14:textId="77777777" w:rsidR="006D3EDA" w:rsidRPr="00462C13" w:rsidRDefault="006D3EDA" w:rsidP="005B79CC">
            <w:pPr>
              <w:rPr>
                <w:rFonts w:eastAsia="Arial Unicode MS" w:cs="Tahoma"/>
                <w:szCs w:val="16"/>
                <w:bdr w:val="none" w:sz="0" w:space="0" w:color="auto" w:frame="1"/>
              </w:rPr>
            </w:pPr>
          </w:p>
        </w:tc>
        <w:tc>
          <w:tcPr>
            <w:tcW w:w="338" w:type="pct"/>
            <w:tcBorders>
              <w:top w:val="single" w:sz="12" w:space="0" w:color="FFFFFF"/>
              <w:left w:val="single" w:sz="12" w:space="0" w:color="FFFFFF"/>
              <w:bottom w:val="single" w:sz="12" w:space="0" w:color="FFFFFF"/>
              <w:right w:val="single" w:sz="12" w:space="0" w:color="FFFFFF"/>
            </w:tcBorders>
            <w:shd w:val="clear" w:color="auto" w:fill="003A70"/>
            <w:hideMark/>
          </w:tcPr>
          <w:p w14:paraId="482B5A2D"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Indicadores</w:t>
            </w:r>
          </w:p>
        </w:tc>
        <w:tc>
          <w:tcPr>
            <w:tcW w:w="321" w:type="pct"/>
            <w:tcBorders>
              <w:top w:val="single" w:sz="12" w:space="0" w:color="FFFFFF"/>
              <w:left w:val="single" w:sz="12" w:space="0" w:color="FFFFFF"/>
              <w:bottom w:val="single" w:sz="12" w:space="0" w:color="FFFFFF"/>
              <w:right w:val="single" w:sz="12" w:space="0" w:color="FFFFFF"/>
            </w:tcBorders>
            <w:shd w:val="clear" w:color="auto" w:fill="003A70"/>
            <w:hideMark/>
          </w:tcPr>
          <w:p w14:paraId="422F4F6F"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 xml:space="preserve">Metas Periodo </w:t>
            </w:r>
          </w:p>
        </w:tc>
        <w:tc>
          <w:tcPr>
            <w:tcW w:w="156" w:type="pct"/>
            <w:vMerge/>
            <w:tcBorders>
              <w:left w:val="single" w:sz="12" w:space="0" w:color="FFFFFF"/>
              <w:bottom w:val="single" w:sz="12" w:space="0" w:color="FFFFFF"/>
              <w:right w:val="single" w:sz="12" w:space="0" w:color="FFFFFF"/>
            </w:tcBorders>
            <w:hideMark/>
          </w:tcPr>
          <w:p w14:paraId="2C071C0F"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47" w:type="pct"/>
            <w:vMerge/>
            <w:tcBorders>
              <w:top w:val="single" w:sz="12" w:space="0" w:color="FFFFFF"/>
              <w:left w:val="single" w:sz="12" w:space="0" w:color="FFFFFF"/>
              <w:bottom w:val="single" w:sz="12" w:space="0" w:color="FFFFFF"/>
              <w:right w:val="single" w:sz="12" w:space="0" w:color="FFFFFF"/>
            </w:tcBorders>
            <w:shd w:val="clear" w:color="auto" w:fill="003366"/>
            <w:hideMark/>
          </w:tcPr>
          <w:p w14:paraId="27CC30E9"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16" w:type="pct"/>
            <w:vMerge/>
            <w:tcBorders>
              <w:left w:val="single" w:sz="12" w:space="0" w:color="FFFFFF"/>
              <w:bottom w:val="single" w:sz="12" w:space="0" w:color="FFFFFF"/>
              <w:right w:val="single" w:sz="12" w:space="0" w:color="FFFFFF"/>
            </w:tcBorders>
            <w:hideMark/>
          </w:tcPr>
          <w:p w14:paraId="5F7D1CBB"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80" w:type="pct"/>
            <w:tcBorders>
              <w:left w:val="single" w:sz="12" w:space="0" w:color="FFFFFF"/>
              <w:bottom w:val="single" w:sz="12" w:space="0" w:color="FFFFFF"/>
              <w:right w:val="single" w:sz="12" w:space="0" w:color="FFFFFF"/>
            </w:tcBorders>
            <w:shd w:val="clear" w:color="auto" w:fill="003A70"/>
          </w:tcPr>
          <w:p w14:paraId="5DC413B7"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rPr>
            </w:pPr>
            <w:r w:rsidRPr="00650798">
              <w:rPr>
                <w:rFonts w:ascii="Arial" w:eastAsia="Arial Unicode MS" w:hAnsi="Arial" w:cs="Arial"/>
                <w:color w:val="auto"/>
                <w:szCs w:val="12"/>
                <w:bdr w:val="none" w:sz="0" w:space="0" w:color="auto" w:frame="1"/>
                <w:lang w:eastAsia="en-US"/>
              </w:rPr>
              <w:t>Presupuesto programado</w:t>
            </w:r>
          </w:p>
        </w:tc>
        <w:tc>
          <w:tcPr>
            <w:tcW w:w="347" w:type="pct"/>
            <w:tcBorders>
              <w:left w:val="single" w:sz="12" w:space="0" w:color="FFFFFF"/>
              <w:bottom w:val="single" w:sz="12" w:space="0" w:color="FFFFFF"/>
              <w:right w:val="single" w:sz="12" w:space="0" w:color="FFFFFF"/>
            </w:tcBorders>
            <w:shd w:val="clear" w:color="auto" w:fill="003A70"/>
          </w:tcPr>
          <w:p w14:paraId="46352EE5"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Monto ejecutado</w:t>
            </w:r>
          </w:p>
        </w:tc>
        <w:tc>
          <w:tcPr>
            <w:tcW w:w="314" w:type="pct"/>
            <w:tcBorders>
              <w:left w:val="single" w:sz="12" w:space="0" w:color="FFFFFF"/>
              <w:bottom w:val="single" w:sz="12" w:space="0" w:color="FFFFFF"/>
              <w:right w:val="single" w:sz="12" w:space="0" w:color="FFFFFF"/>
            </w:tcBorders>
            <w:shd w:val="clear" w:color="auto" w:fill="003A70"/>
          </w:tcPr>
          <w:p w14:paraId="0154D1C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Información cualitativa</w:t>
            </w:r>
          </w:p>
        </w:tc>
        <w:tc>
          <w:tcPr>
            <w:tcW w:w="245" w:type="pct"/>
            <w:vMerge/>
            <w:tcBorders>
              <w:left w:val="single" w:sz="12" w:space="0" w:color="FFFFFF"/>
              <w:bottom w:val="single" w:sz="12" w:space="0" w:color="FFFFFF"/>
              <w:right w:val="single" w:sz="12" w:space="0" w:color="FFFFFF"/>
            </w:tcBorders>
          </w:tcPr>
          <w:p w14:paraId="2DFF5BF6"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27" w:type="pct"/>
            <w:vMerge/>
            <w:tcBorders>
              <w:top w:val="single" w:sz="12" w:space="0" w:color="FFFFFF"/>
              <w:left w:val="single" w:sz="12" w:space="0" w:color="FFFFFF"/>
              <w:bottom w:val="single" w:sz="12" w:space="0" w:color="FFFFFF"/>
              <w:right w:val="single" w:sz="12" w:space="0" w:color="FFFFFF"/>
            </w:tcBorders>
            <w:hideMark/>
          </w:tcPr>
          <w:p w14:paraId="3877C276"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823" w:type="pct"/>
            <w:vMerge/>
            <w:tcBorders>
              <w:top w:val="single" w:sz="12" w:space="0" w:color="FFFFFF"/>
              <w:left w:val="single" w:sz="12" w:space="0" w:color="FFFFFF"/>
              <w:bottom w:val="single" w:sz="12" w:space="0" w:color="FFFFFF"/>
              <w:right w:val="single" w:sz="12" w:space="0" w:color="FFFFFF"/>
            </w:tcBorders>
            <w:hideMark/>
          </w:tcPr>
          <w:p w14:paraId="656C02E4"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vertAlign w:val="superscript"/>
              </w:rPr>
            </w:pPr>
          </w:p>
        </w:tc>
      </w:tr>
      <w:tr w:rsidR="00650798" w:rsidRPr="00462C13" w14:paraId="15C735CA" w14:textId="77777777" w:rsidTr="006507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75BE6C7" w14:textId="77777777" w:rsidR="006D3EDA" w:rsidRPr="00462C13" w:rsidRDefault="006D3EDA" w:rsidP="005B79CC">
            <w:pPr>
              <w:jc w:val="both"/>
              <w:rPr>
                <w:rFonts w:cs="Tahoma"/>
                <w:szCs w:val="16"/>
              </w:rPr>
            </w:pPr>
            <w:r w:rsidRPr="00462C13">
              <w:rPr>
                <w:rFonts w:cs="Tahoma"/>
                <w:b/>
                <w:bCs w:val="0"/>
                <w:szCs w:val="22"/>
              </w:rPr>
              <w:t xml:space="preserve">4.1 </w:t>
            </w:r>
            <w:r w:rsidRPr="00462C13">
              <w:rPr>
                <w:rFonts w:cs="Tahoma"/>
                <w:bCs w:val="0"/>
                <w:szCs w:val="22"/>
              </w:rPr>
              <w:t>Garantizar la atención integral a personas víctimas de trata acreditadas mediante programas especializados y sostenibles en el tiempo.</w:t>
            </w:r>
          </w:p>
        </w:tc>
        <w:tc>
          <w:tcPr>
            <w:tcW w:w="33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BB144C5" w14:textId="6EFD5E67" w:rsidR="006D3EDA" w:rsidRPr="00462C13"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szCs w:val="16"/>
              </w:rPr>
              <w:t xml:space="preserve">A.4.1.1 </w:t>
            </w:r>
            <w:r w:rsidR="0002749A" w:rsidRPr="00695CB1">
              <w:rPr>
                <w:rFonts w:cs="Tahoma"/>
                <w:szCs w:val="16"/>
              </w:rPr>
              <w:t>Porcentaje de personas víctimas de trata acreditadas que son abordadas en procesos de atención secundaria</w:t>
            </w:r>
          </w:p>
        </w:tc>
        <w:tc>
          <w:tcPr>
            <w:tcW w:w="321"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AA829A8"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szCs w:val="16"/>
              </w:rPr>
              <w:t xml:space="preserve">2023-2026: </w:t>
            </w:r>
            <w:r w:rsidRPr="00462C13">
              <w:rPr>
                <w:rFonts w:cs="Tahoma"/>
                <w:szCs w:val="16"/>
              </w:rPr>
              <w:t xml:space="preserve">79% </w:t>
            </w:r>
          </w:p>
          <w:p w14:paraId="0053080C"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p>
          <w:p w14:paraId="0C686B0F"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2023: 76%</w:t>
            </w:r>
          </w:p>
          <w:p w14:paraId="1CDFE8DB"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 xml:space="preserve">2024: 77% </w:t>
            </w:r>
          </w:p>
          <w:p w14:paraId="54F4E992"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 xml:space="preserve">2025: 78% </w:t>
            </w:r>
          </w:p>
          <w:p w14:paraId="52B176B1" w14:textId="77777777" w:rsidR="006D3EDA" w:rsidRPr="00462C13" w:rsidRDefault="006D3EDA"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2026: 79%</w:t>
            </w:r>
          </w:p>
        </w:tc>
        <w:tc>
          <w:tcPr>
            <w:tcW w:w="15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D2354FD" w14:textId="5C374656" w:rsidR="006D3EDA" w:rsidRPr="00CE7843" w:rsidRDefault="006D3EDA" w:rsidP="005B79CC">
            <w:pPr>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8"/>
                <w:bdr w:val="none" w:sz="0" w:space="0" w:color="auto" w:frame="1"/>
              </w:rPr>
            </w:pPr>
            <w:r w:rsidRPr="00462C13">
              <w:rPr>
                <w:rFonts w:cs="Tahoma"/>
              </w:rPr>
              <w:t>7</w:t>
            </w:r>
            <w:r w:rsidR="0002749A">
              <w:rPr>
                <w:rFonts w:cs="Tahoma"/>
              </w:rPr>
              <w:t>8</w:t>
            </w:r>
            <w:r w:rsidRPr="00462C13">
              <w:rPr>
                <w:rFonts w:cs="Tahoma"/>
              </w:rPr>
              <w:t>%</w:t>
            </w:r>
          </w:p>
        </w:tc>
        <w:tc>
          <w:tcPr>
            <w:tcW w:w="24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F80754E" w14:textId="441199F1" w:rsidR="006D3EDA" w:rsidRPr="00636A8C" w:rsidRDefault="00EB6C63" w:rsidP="005B79CC">
            <w:pPr>
              <w:jc w:val="cente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EB6C63">
              <w:rPr>
                <w:rFonts w:cs="Tahoma"/>
                <w:szCs w:val="16"/>
              </w:rPr>
              <w:t xml:space="preserve">97,65 </w:t>
            </w:r>
            <w:r w:rsidR="006D3EDA" w:rsidRPr="00EB6C63">
              <w:rPr>
                <w:rFonts w:cs="Tahoma"/>
                <w:szCs w:val="16"/>
              </w:rPr>
              <w:t>%</w:t>
            </w:r>
          </w:p>
        </w:tc>
        <w:tc>
          <w:tcPr>
            <w:tcW w:w="21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0E2113DF" w14:textId="03CC912A" w:rsidR="006D3EDA" w:rsidRPr="00337DE6" w:rsidRDefault="006D3EDA"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337DE6">
              <w:rPr>
                <w:rFonts w:cs="Tahoma"/>
                <w:szCs w:val="16"/>
              </w:rPr>
              <w:t>12</w:t>
            </w:r>
            <w:r w:rsidR="00EB6C63" w:rsidRPr="00337DE6">
              <w:rPr>
                <w:rFonts w:cs="Tahoma"/>
                <w:szCs w:val="16"/>
              </w:rPr>
              <w:t>5</w:t>
            </w:r>
            <w:r w:rsidRPr="00337DE6">
              <w:rPr>
                <w:rFonts w:cs="Tahoma"/>
                <w:szCs w:val="16"/>
              </w:rPr>
              <w:t>,</w:t>
            </w:r>
            <w:r w:rsidR="00EB6C63" w:rsidRPr="00337DE6">
              <w:rPr>
                <w:rFonts w:cs="Tahoma"/>
                <w:szCs w:val="16"/>
              </w:rPr>
              <w:t>19</w:t>
            </w:r>
            <w:r w:rsidRPr="00337DE6">
              <w:rPr>
                <w:rFonts w:cs="Tahoma"/>
                <w:szCs w:val="16"/>
              </w:rPr>
              <w:t>%</w:t>
            </w:r>
          </w:p>
        </w:tc>
        <w:tc>
          <w:tcPr>
            <w:tcW w:w="38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6040005" w14:textId="6BFC94FA" w:rsidR="006D3EDA" w:rsidRPr="00337DE6" w:rsidRDefault="001636E3"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337DE6">
              <w:rPr>
                <w:rFonts w:cs="Tahoma"/>
                <w:szCs w:val="16"/>
              </w:rPr>
              <w:t>250.376.729,10</w:t>
            </w:r>
          </w:p>
        </w:tc>
        <w:tc>
          <w:tcPr>
            <w:tcW w:w="34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02818787" w14:textId="797BD43E" w:rsidR="006D3EDA" w:rsidRPr="00462C13" w:rsidRDefault="001636E3"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1636E3">
              <w:rPr>
                <w:rFonts w:cs="Tahoma"/>
                <w:szCs w:val="16"/>
              </w:rPr>
              <w:t>250.376.729,10</w:t>
            </w:r>
          </w:p>
        </w:tc>
        <w:tc>
          <w:tcPr>
            <w:tcW w:w="3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E38F300"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Pr>
                <w:rFonts w:cs="Tahoma"/>
                <w:szCs w:val="16"/>
              </w:rPr>
              <w:t xml:space="preserve">No aplica </w:t>
            </w:r>
          </w:p>
        </w:tc>
        <w:tc>
          <w:tcPr>
            <w:tcW w:w="245"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9CF203E"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674B90">
              <w:rPr>
                <w:rFonts w:cs="Tahoma"/>
                <w:szCs w:val="16"/>
              </w:rPr>
              <w:t>Dirección General de Migración y Extranjería</w:t>
            </w:r>
          </w:p>
        </w:tc>
        <w:tc>
          <w:tcPr>
            <w:tcW w:w="327" w:type="pct"/>
            <w:tcBorders>
              <w:top w:val="single" w:sz="12" w:space="0" w:color="FFFFFF"/>
              <w:left w:val="single" w:sz="12" w:space="0" w:color="FFFFFF"/>
              <w:bottom w:val="single" w:sz="12" w:space="0" w:color="FFFFFF"/>
              <w:right w:val="single" w:sz="12" w:space="0" w:color="FFFFFF"/>
            </w:tcBorders>
            <w:shd w:val="clear" w:color="auto" w:fill="92D050"/>
          </w:tcPr>
          <w:p w14:paraId="0A14C1D2"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C43FB6">
              <w:rPr>
                <w:rFonts w:cs="Tahoma"/>
                <w:b/>
                <w:szCs w:val="16"/>
              </w:rPr>
              <w:t>Cumplimiento alto</w:t>
            </w:r>
          </w:p>
        </w:tc>
        <w:tc>
          <w:tcPr>
            <w:tcW w:w="1823"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95C39DA" w14:textId="77777777" w:rsidR="006D3EDA" w:rsidRDefault="006D3ED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Logros </w:t>
            </w:r>
          </w:p>
          <w:p w14:paraId="70707909" w14:textId="77777777" w:rsidR="00337DE6" w:rsidRPr="00337DE6" w:rsidRDefault="00337DE6" w:rsidP="00337DE6">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337DE6">
              <w:rPr>
                <w:rFonts w:cs="Tahoma"/>
                <w:szCs w:val="16"/>
              </w:rPr>
              <w:t>El Equipo de Respuesta Inmediata ERI, durante al año 2025 ha brindado atención primaria y secundaria a 85 personas posible víctimas de trata, luego de los análisis se acreditó como víctima a 83 personas.</w:t>
            </w:r>
          </w:p>
          <w:p w14:paraId="470D6F14" w14:textId="25E03333" w:rsidR="006D3EDA" w:rsidRDefault="00337DE6" w:rsidP="00337DE6">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337DE6">
              <w:rPr>
                <w:rFonts w:cs="Tahoma"/>
                <w:szCs w:val="16"/>
              </w:rPr>
              <w:t>Este Equipo que está conformado por varios profesionales de diferentes instituciones, que están comprometidos en la lucha contra la trata de personas, así como proteger aquellas personas en estado de vulnerabilidad debido a este flagelo. La acreditación como víctima de trata les permite acceder a los beneficios que se les brinda, tales como: alimentación, un lugar donde residir, atención médica y psicológica, lo que les facilita de una u otra manera su reintegración a la sociedad, sin ser revictimizada.</w:t>
            </w:r>
          </w:p>
          <w:p w14:paraId="4C1D2C73" w14:textId="77777777" w:rsidR="00337DE6" w:rsidRDefault="00337DE6" w:rsidP="00337DE6">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696B2848" w14:textId="77777777" w:rsidR="006D3EDA" w:rsidRDefault="006D3ED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Factores que contribuyeron </w:t>
            </w:r>
            <w:r>
              <w:rPr>
                <w:rFonts w:cs="Tahoma"/>
                <w:b/>
                <w:szCs w:val="16"/>
              </w:rPr>
              <w:t xml:space="preserve">al cumplimiento </w:t>
            </w:r>
            <w:r w:rsidRPr="007B087D">
              <w:rPr>
                <w:rFonts w:cs="Tahoma"/>
                <w:b/>
                <w:szCs w:val="16"/>
              </w:rPr>
              <w:t>de la meta superior a 125%</w:t>
            </w:r>
          </w:p>
          <w:p w14:paraId="48813F3A" w14:textId="77777777" w:rsidR="00513FBB" w:rsidRPr="00513FBB" w:rsidRDefault="00513FBB" w:rsidP="00513FB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513FBB">
              <w:rPr>
                <w:rFonts w:cs="Tahoma"/>
                <w:szCs w:val="16"/>
              </w:rPr>
              <w:t>La superación de la meta obedece a un aumento en la identificación y derivación de casos por parte de las instituciones que apoyan en este tema. Además, al contar con una ruta nacional de detección, derivación y atención, boleta noticia crimen homologados; así como a procesos de capacitación, talleres y actividades desarrolladas en materia de Trata de Personas y Tráfico Ilícito de Personas Migrantes</w:t>
            </w:r>
          </w:p>
          <w:p w14:paraId="31A804A7" w14:textId="216372A2" w:rsidR="006D3EDA" w:rsidRPr="007B087D" w:rsidRDefault="00513FBB" w:rsidP="00513FBB">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513FBB">
              <w:rPr>
                <w:rFonts w:cs="Tahoma"/>
                <w:szCs w:val="16"/>
              </w:rPr>
              <w:t>Se continúa trabajando para fortalecer la “Estrategia de atención integral y de movilización de recursos de apoyo para las víctimas de sobrevivientes de la trata de personas y sus dependientes: integración, reintegración, repatriación, retorno voluntario y reasentamiento”.</w:t>
            </w:r>
          </w:p>
        </w:tc>
      </w:tr>
    </w:tbl>
    <w:p w14:paraId="12F249C6" w14:textId="44B27194" w:rsidR="006D3EDA" w:rsidRDefault="006D3EDA" w:rsidP="006D3EDA">
      <w:pPr>
        <w:pStyle w:val="Default"/>
        <w:rPr>
          <w:rFonts w:ascii="Tahoma" w:eastAsia="Arial Narrow" w:hAnsi="Tahoma" w:cs="Tahoma"/>
          <w:sz w:val="16"/>
        </w:rPr>
      </w:pPr>
      <w:r w:rsidRPr="00462C13">
        <w:rPr>
          <w:rFonts w:ascii="Tahoma" w:eastAsia="Arial Narrow" w:hAnsi="Tahoma" w:cs="Tahoma"/>
          <w:sz w:val="16"/>
        </w:rPr>
        <w:t>Fuente: Equipo de Respuesta Inmediata- ERI (Gestión de Trata y Tráfico de Personas), Dirección General de Migración y Extranjería, 202</w:t>
      </w:r>
      <w:r w:rsidR="008655FD">
        <w:rPr>
          <w:rFonts w:ascii="Tahoma" w:eastAsia="Arial Narrow" w:hAnsi="Tahoma" w:cs="Tahoma"/>
          <w:sz w:val="16"/>
        </w:rPr>
        <w:t>6</w:t>
      </w:r>
      <w:r w:rsidRPr="00462C13">
        <w:rPr>
          <w:rFonts w:ascii="Tahoma" w:eastAsia="Arial Narrow" w:hAnsi="Tahoma" w:cs="Tahoma"/>
          <w:sz w:val="16"/>
        </w:rPr>
        <w:t xml:space="preserve">. </w:t>
      </w:r>
    </w:p>
    <w:p w14:paraId="7404FF01" w14:textId="77777777" w:rsidR="006D3EDA" w:rsidRDefault="006D3EDA" w:rsidP="006D3EDA">
      <w:pPr>
        <w:pStyle w:val="Default"/>
        <w:rPr>
          <w:rFonts w:ascii="Tahoma" w:eastAsia="Arial Narrow" w:hAnsi="Tahoma" w:cs="Tahoma"/>
          <w:sz w:val="16"/>
        </w:rPr>
      </w:pPr>
    </w:p>
    <w:p w14:paraId="5BB14B2A" w14:textId="77777777" w:rsidR="006D3EDA" w:rsidRDefault="006D3EDA" w:rsidP="006D3EDA">
      <w:pPr>
        <w:pStyle w:val="Ttulo2"/>
        <w:rPr>
          <w:rFonts w:cs="Tahoma"/>
        </w:rPr>
      </w:pPr>
      <w:bookmarkStart w:id="40" w:name="_Toc189055698"/>
      <w:bookmarkStart w:id="41" w:name="_Toc220401624"/>
      <w:r w:rsidRPr="00462C13">
        <w:rPr>
          <w:rFonts w:cs="Tahoma"/>
        </w:rPr>
        <w:t>Intervención Pública 5: Fronteras seguras y desarticulación de redes internacionales o nacionales de tráfico y trata de personas.</w:t>
      </w:r>
      <w:bookmarkEnd w:id="40"/>
      <w:bookmarkEnd w:id="41"/>
    </w:p>
    <w:tbl>
      <w:tblPr>
        <w:tblStyle w:val="Tablaclsica3"/>
        <w:tblW w:w="5000" w:type="pct"/>
        <w:jc w:val="center"/>
        <w:tblLayout w:type="fixed"/>
        <w:tblLook w:val="04A0" w:firstRow="1" w:lastRow="0" w:firstColumn="1" w:lastColumn="0" w:noHBand="0" w:noVBand="1"/>
      </w:tblPr>
      <w:tblGrid>
        <w:gridCol w:w="1296"/>
        <w:gridCol w:w="1522"/>
        <w:gridCol w:w="1422"/>
        <w:gridCol w:w="709"/>
        <w:gridCol w:w="990"/>
        <w:gridCol w:w="852"/>
        <w:gridCol w:w="1418"/>
        <w:gridCol w:w="1418"/>
        <w:gridCol w:w="1418"/>
        <w:gridCol w:w="1275"/>
        <w:gridCol w:w="1414"/>
        <w:gridCol w:w="7880"/>
      </w:tblGrid>
      <w:tr w:rsidR="006D3EDA" w:rsidRPr="00462C13" w14:paraId="00644F78" w14:textId="77777777" w:rsidTr="005B79CC">
        <w:trPr>
          <w:cnfStyle w:val="100000000000" w:firstRow="1" w:lastRow="0" w:firstColumn="0" w:lastColumn="0" w:oddVBand="0" w:evenVBand="0" w:oddHBand="0" w:evenHBand="0" w:firstRowFirstColumn="0" w:firstRowLastColumn="0" w:lastRowFirstColumn="0" w:lastRowLastColumn="0"/>
          <w:trHeight w:val="242"/>
          <w:tblHeader/>
          <w:jc w:val="center"/>
        </w:trPr>
        <w:tc>
          <w:tcPr>
            <w:cnfStyle w:val="001000000000" w:firstRow="0" w:lastRow="0" w:firstColumn="1" w:lastColumn="0" w:oddVBand="0" w:evenVBand="0" w:oddHBand="0" w:evenHBand="0" w:firstRowFirstColumn="0" w:firstRowLastColumn="0" w:lastRowFirstColumn="0" w:lastRowLastColumn="0"/>
            <w:tcW w:w="300" w:type="pct"/>
            <w:vMerge w:val="restart"/>
            <w:tcBorders>
              <w:top w:val="single" w:sz="12" w:space="0" w:color="FFFFFF"/>
              <w:left w:val="single" w:sz="12" w:space="0" w:color="FFFFFF"/>
              <w:bottom w:val="single" w:sz="12" w:space="0" w:color="FFFFFF"/>
              <w:right w:val="single" w:sz="12" w:space="0" w:color="FFFFFF"/>
            </w:tcBorders>
            <w:shd w:val="clear" w:color="auto" w:fill="003A70"/>
          </w:tcPr>
          <w:p w14:paraId="00924104" w14:textId="77777777" w:rsidR="006D3EDA" w:rsidRPr="00462C13" w:rsidRDefault="006D3EDA" w:rsidP="005B79CC">
            <w:pPr>
              <w:rPr>
                <w:rFonts w:eastAsia="Arial Unicode MS" w:cs="Tahoma"/>
                <w:szCs w:val="16"/>
                <w:bdr w:val="none" w:sz="0" w:space="0" w:color="auto" w:frame="1"/>
              </w:rPr>
            </w:pPr>
            <w:r w:rsidRPr="00462C13">
              <w:rPr>
                <w:rFonts w:eastAsia="Arial Unicode MS" w:cs="Tahoma"/>
                <w:szCs w:val="16"/>
                <w:bdr w:val="none" w:sz="0" w:space="0" w:color="auto" w:frame="1"/>
              </w:rPr>
              <w:t xml:space="preserve">Objetivo </w:t>
            </w:r>
          </w:p>
        </w:tc>
        <w:tc>
          <w:tcPr>
            <w:tcW w:w="681" w:type="pct"/>
            <w:gridSpan w:val="2"/>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05D4E58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xml:space="preserve">Programación </w:t>
            </w:r>
          </w:p>
          <w:p w14:paraId="537588C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PNDIP 2023-2026</w:t>
            </w:r>
          </w:p>
        </w:tc>
        <w:tc>
          <w:tcPr>
            <w:tcW w:w="4019" w:type="pct"/>
            <w:gridSpan w:val="9"/>
            <w:tcBorders>
              <w:top w:val="single" w:sz="12" w:space="0" w:color="FFFFFF"/>
              <w:left w:val="single" w:sz="12" w:space="0" w:color="FFFFFF"/>
              <w:bottom w:val="single" w:sz="12" w:space="0" w:color="FFFFFF"/>
              <w:right w:val="single" w:sz="12" w:space="0" w:color="FFFFFF"/>
            </w:tcBorders>
            <w:shd w:val="clear" w:color="auto" w:fill="003A70"/>
          </w:tcPr>
          <w:p w14:paraId="5F0C92B0" w14:textId="10570B04"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224BD7">
              <w:rPr>
                <w:rFonts w:eastAsia="Arial Unicode MS" w:cs="Tahoma"/>
                <w:szCs w:val="16"/>
                <w:bdr w:val="none" w:sz="0" w:space="0" w:color="auto" w:frame="1"/>
              </w:rPr>
              <w:t xml:space="preserve">Seguimiento </w:t>
            </w:r>
            <w:r>
              <w:rPr>
                <w:rFonts w:eastAsia="Arial Unicode MS" w:cs="Tahoma"/>
                <w:szCs w:val="16"/>
                <w:bdr w:val="none" w:sz="0" w:space="0" w:color="auto" w:frame="1"/>
              </w:rPr>
              <w:t xml:space="preserve">Anual </w:t>
            </w:r>
            <w:r w:rsidRPr="00224BD7">
              <w:rPr>
                <w:rFonts w:eastAsia="Arial Unicode MS" w:cs="Tahoma"/>
                <w:szCs w:val="16"/>
                <w:bdr w:val="none" w:sz="0" w:space="0" w:color="auto" w:frame="1"/>
              </w:rPr>
              <w:t>202</w:t>
            </w:r>
            <w:r w:rsidR="004B4F07">
              <w:rPr>
                <w:rFonts w:eastAsia="Arial Unicode MS" w:cs="Tahoma"/>
                <w:szCs w:val="16"/>
                <w:bdr w:val="none" w:sz="0" w:space="0" w:color="auto" w:frame="1"/>
              </w:rPr>
              <w:t>5</w:t>
            </w:r>
          </w:p>
        </w:tc>
      </w:tr>
      <w:tr w:rsidR="00650798" w:rsidRPr="00462C13" w14:paraId="604CEAA6" w14:textId="77777777" w:rsidTr="00650798">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300" w:type="pct"/>
            <w:vMerge/>
            <w:tcBorders>
              <w:top w:val="single" w:sz="12" w:space="0" w:color="FFFFFF"/>
              <w:left w:val="single" w:sz="12" w:space="0" w:color="FFFFFF"/>
              <w:bottom w:val="single" w:sz="12" w:space="0" w:color="FFFFFF"/>
              <w:right w:val="single" w:sz="12" w:space="0" w:color="FFFFFF"/>
            </w:tcBorders>
            <w:shd w:val="clear" w:color="auto" w:fill="003A70"/>
            <w:hideMark/>
          </w:tcPr>
          <w:p w14:paraId="234966CB" w14:textId="77777777" w:rsidR="006D3EDA" w:rsidRPr="00462C13" w:rsidRDefault="006D3EDA" w:rsidP="005B79CC">
            <w:pPr>
              <w:rPr>
                <w:rFonts w:eastAsia="Arial Unicode MS" w:cs="Tahoma"/>
                <w:szCs w:val="16"/>
                <w:bdr w:val="none" w:sz="0" w:space="0" w:color="auto" w:frame="1"/>
              </w:rPr>
            </w:pPr>
          </w:p>
        </w:tc>
        <w:tc>
          <w:tcPr>
            <w:tcW w:w="681" w:type="pct"/>
            <w:gridSpan w:val="2"/>
            <w:vMerge/>
            <w:tcBorders>
              <w:top w:val="single" w:sz="12" w:space="0" w:color="FFFFFF"/>
              <w:left w:val="single" w:sz="12" w:space="0" w:color="FFFFFF"/>
              <w:bottom w:val="single" w:sz="12" w:space="0" w:color="FFFFFF"/>
              <w:right w:val="single" w:sz="12" w:space="0" w:color="FFFFFF"/>
            </w:tcBorders>
            <w:shd w:val="clear" w:color="auto" w:fill="003A70"/>
            <w:hideMark/>
          </w:tcPr>
          <w:p w14:paraId="51F9361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64" w:type="pct"/>
            <w:vMerge w:val="restart"/>
            <w:tcBorders>
              <w:top w:val="single" w:sz="12" w:space="0" w:color="FFFFFF"/>
              <w:left w:val="single" w:sz="12" w:space="0" w:color="FFFFFF"/>
              <w:right w:val="single" w:sz="12" w:space="0" w:color="FFFFFF"/>
            </w:tcBorders>
            <w:shd w:val="clear" w:color="auto" w:fill="003A70"/>
            <w:hideMark/>
          </w:tcPr>
          <w:p w14:paraId="609BF481"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Meta Anual</w:t>
            </w:r>
          </w:p>
        </w:tc>
        <w:tc>
          <w:tcPr>
            <w:tcW w:w="229"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59FFD9E5"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Absoluto</w:t>
            </w:r>
          </w:p>
        </w:tc>
        <w:tc>
          <w:tcPr>
            <w:tcW w:w="197" w:type="pct"/>
            <w:vMerge w:val="restart"/>
            <w:tcBorders>
              <w:top w:val="single" w:sz="12" w:space="0" w:color="FFFFFF"/>
              <w:left w:val="single" w:sz="12" w:space="0" w:color="FFFFFF"/>
              <w:right w:val="single" w:sz="12" w:space="0" w:color="FFFFFF"/>
            </w:tcBorders>
            <w:shd w:val="clear" w:color="auto" w:fill="003A70"/>
            <w:hideMark/>
          </w:tcPr>
          <w:p w14:paraId="475708A6"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de avance</w:t>
            </w:r>
          </w:p>
        </w:tc>
        <w:tc>
          <w:tcPr>
            <w:tcW w:w="984" w:type="pct"/>
            <w:gridSpan w:val="3"/>
            <w:tcBorders>
              <w:top w:val="single" w:sz="12" w:space="0" w:color="FFFFFF"/>
              <w:left w:val="single" w:sz="12" w:space="0" w:color="FFFFFF"/>
              <w:bottom w:val="single" w:sz="4" w:space="0" w:color="auto"/>
              <w:right w:val="single" w:sz="12" w:space="0" w:color="FFFFFF"/>
            </w:tcBorders>
            <w:shd w:val="clear" w:color="auto" w:fill="003A70"/>
          </w:tcPr>
          <w:p w14:paraId="70F395B4" w14:textId="501F7A18"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Presupuesto 202</w:t>
            </w:r>
            <w:r w:rsidR="004B4F07">
              <w:rPr>
                <w:rFonts w:eastAsia="Arial Unicode MS" w:cs="Tahoma"/>
                <w:szCs w:val="16"/>
                <w:bdr w:val="none" w:sz="0" w:space="0" w:color="auto" w:frame="1"/>
              </w:rPr>
              <w:t>5</w:t>
            </w:r>
          </w:p>
        </w:tc>
        <w:tc>
          <w:tcPr>
            <w:tcW w:w="295" w:type="pct"/>
            <w:vMerge w:val="restart"/>
            <w:tcBorders>
              <w:top w:val="single" w:sz="12" w:space="0" w:color="FFFFFF"/>
              <w:left w:val="single" w:sz="12" w:space="0" w:color="FFFFFF"/>
              <w:right w:val="single" w:sz="12" w:space="0" w:color="FFFFFF"/>
            </w:tcBorders>
            <w:shd w:val="clear" w:color="auto" w:fill="003A70"/>
          </w:tcPr>
          <w:p w14:paraId="4BC30C95"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Responsable</w:t>
            </w:r>
          </w:p>
        </w:tc>
        <w:tc>
          <w:tcPr>
            <w:tcW w:w="327"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14C68314"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BF3111">
              <w:rPr>
                <w:rFonts w:eastAsia="Arial Unicode MS" w:cs="Tahoma"/>
                <w:szCs w:val="16"/>
                <w:bdr w:val="none" w:sz="0" w:space="0" w:color="auto" w:frame="1"/>
              </w:rPr>
              <w:t>Clasificación de cumplimiento</w:t>
            </w:r>
          </w:p>
        </w:tc>
        <w:tc>
          <w:tcPr>
            <w:tcW w:w="1823"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1E9F4CAA" w14:textId="256569C1" w:rsidR="006D3EDA" w:rsidRPr="00462C13" w:rsidRDefault="00A12C11"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vertAlign w:val="superscript"/>
              </w:rPr>
            </w:pPr>
            <w:r>
              <w:rPr>
                <w:rFonts w:eastAsia="Arial Unicode MS" w:cs="Tahoma"/>
                <w:sz w:val="24"/>
                <w:szCs w:val="16"/>
                <w:bdr w:val="none" w:sz="0" w:space="0" w:color="auto" w:frame="1"/>
              </w:rPr>
              <w:t>Obstáculos</w:t>
            </w:r>
          </w:p>
        </w:tc>
      </w:tr>
      <w:tr w:rsidR="00650798" w:rsidRPr="00462C13" w14:paraId="555D28F4" w14:textId="77777777" w:rsidTr="00650798">
        <w:trPr>
          <w:cnfStyle w:val="100000000000" w:firstRow="1" w:lastRow="0" w:firstColumn="0" w:lastColumn="0" w:oddVBand="0" w:evenVBand="0" w:oddHBand="0" w:evenHBand="0" w:firstRowFirstColumn="0" w:firstRowLastColumn="0" w:lastRowFirstColumn="0" w:lastRowLastColumn="0"/>
          <w:trHeight w:val="493"/>
          <w:tblHeader/>
          <w:jc w:val="center"/>
        </w:trPr>
        <w:tc>
          <w:tcPr>
            <w:cnfStyle w:val="001000000000" w:firstRow="0" w:lastRow="0" w:firstColumn="1" w:lastColumn="0" w:oddVBand="0" w:evenVBand="0" w:oddHBand="0" w:evenHBand="0" w:firstRowFirstColumn="0" w:firstRowLastColumn="0" w:lastRowFirstColumn="0" w:lastRowLastColumn="0"/>
            <w:tcW w:w="300" w:type="pct"/>
            <w:vMerge/>
            <w:tcBorders>
              <w:top w:val="single" w:sz="12" w:space="0" w:color="FFFFFF"/>
              <w:left w:val="single" w:sz="12" w:space="0" w:color="FFFFFF"/>
              <w:bottom w:val="single" w:sz="12" w:space="0" w:color="FFFFFF"/>
              <w:right w:val="single" w:sz="12" w:space="0" w:color="FFFFFF"/>
            </w:tcBorders>
            <w:hideMark/>
          </w:tcPr>
          <w:p w14:paraId="01D2DACB" w14:textId="77777777" w:rsidR="006D3EDA" w:rsidRPr="00462C13" w:rsidRDefault="006D3EDA" w:rsidP="005B79CC">
            <w:pPr>
              <w:rPr>
                <w:rFonts w:eastAsia="Arial Unicode MS" w:cs="Tahoma"/>
                <w:szCs w:val="16"/>
                <w:bdr w:val="none" w:sz="0" w:space="0" w:color="auto" w:frame="1"/>
              </w:rPr>
            </w:pPr>
          </w:p>
        </w:tc>
        <w:tc>
          <w:tcPr>
            <w:tcW w:w="352" w:type="pct"/>
            <w:tcBorders>
              <w:top w:val="single" w:sz="12" w:space="0" w:color="FFFFFF"/>
              <w:left w:val="single" w:sz="12" w:space="0" w:color="FFFFFF"/>
              <w:bottom w:val="single" w:sz="12" w:space="0" w:color="FFFFFF"/>
              <w:right w:val="single" w:sz="12" w:space="0" w:color="FFFFFF"/>
            </w:tcBorders>
            <w:shd w:val="clear" w:color="auto" w:fill="003A70"/>
            <w:hideMark/>
          </w:tcPr>
          <w:p w14:paraId="11205439"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Indicadores</w:t>
            </w:r>
          </w:p>
        </w:tc>
        <w:tc>
          <w:tcPr>
            <w:tcW w:w="329" w:type="pct"/>
            <w:tcBorders>
              <w:top w:val="single" w:sz="12" w:space="0" w:color="FFFFFF"/>
              <w:left w:val="single" w:sz="12" w:space="0" w:color="FFFFFF"/>
              <w:bottom w:val="single" w:sz="12" w:space="0" w:color="FFFFFF"/>
              <w:right w:val="single" w:sz="12" w:space="0" w:color="FFFFFF"/>
            </w:tcBorders>
            <w:shd w:val="clear" w:color="auto" w:fill="003A70"/>
            <w:hideMark/>
          </w:tcPr>
          <w:p w14:paraId="204BC436"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 xml:space="preserve">Metas Periodo </w:t>
            </w:r>
          </w:p>
        </w:tc>
        <w:tc>
          <w:tcPr>
            <w:tcW w:w="164" w:type="pct"/>
            <w:vMerge/>
            <w:tcBorders>
              <w:left w:val="single" w:sz="12" w:space="0" w:color="FFFFFF"/>
              <w:bottom w:val="single" w:sz="12" w:space="0" w:color="FFFFFF"/>
              <w:right w:val="single" w:sz="12" w:space="0" w:color="FFFFFF"/>
            </w:tcBorders>
            <w:hideMark/>
          </w:tcPr>
          <w:p w14:paraId="15B30A4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29" w:type="pct"/>
            <w:vMerge/>
            <w:tcBorders>
              <w:top w:val="single" w:sz="12" w:space="0" w:color="FFFFFF"/>
              <w:left w:val="single" w:sz="12" w:space="0" w:color="FFFFFF"/>
              <w:bottom w:val="single" w:sz="12" w:space="0" w:color="FFFFFF"/>
              <w:right w:val="single" w:sz="12" w:space="0" w:color="FFFFFF"/>
            </w:tcBorders>
            <w:shd w:val="clear" w:color="auto" w:fill="003366"/>
            <w:hideMark/>
          </w:tcPr>
          <w:p w14:paraId="109D5A2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97" w:type="pct"/>
            <w:vMerge/>
            <w:tcBorders>
              <w:left w:val="single" w:sz="12" w:space="0" w:color="FFFFFF"/>
              <w:bottom w:val="single" w:sz="12" w:space="0" w:color="FFFFFF"/>
              <w:right w:val="single" w:sz="12" w:space="0" w:color="FFFFFF"/>
            </w:tcBorders>
            <w:hideMark/>
          </w:tcPr>
          <w:p w14:paraId="7F97306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28" w:type="pct"/>
            <w:tcBorders>
              <w:left w:val="single" w:sz="12" w:space="0" w:color="FFFFFF"/>
              <w:bottom w:val="single" w:sz="12" w:space="0" w:color="FFFFFF"/>
              <w:right w:val="single" w:sz="12" w:space="0" w:color="FFFFFF"/>
            </w:tcBorders>
            <w:shd w:val="clear" w:color="auto" w:fill="003A70"/>
          </w:tcPr>
          <w:p w14:paraId="6629A547"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rPr>
            </w:pPr>
            <w:r w:rsidRPr="00650798">
              <w:rPr>
                <w:rFonts w:ascii="Arial" w:eastAsia="Arial Unicode MS" w:hAnsi="Arial" w:cs="Arial"/>
                <w:color w:val="auto"/>
                <w:szCs w:val="12"/>
                <w:bdr w:val="none" w:sz="0" w:space="0" w:color="auto" w:frame="1"/>
                <w:lang w:eastAsia="en-US"/>
              </w:rPr>
              <w:t>Presupuesto programado</w:t>
            </w:r>
          </w:p>
        </w:tc>
        <w:tc>
          <w:tcPr>
            <w:tcW w:w="328" w:type="pct"/>
            <w:tcBorders>
              <w:left w:val="single" w:sz="12" w:space="0" w:color="FFFFFF"/>
              <w:bottom w:val="single" w:sz="12" w:space="0" w:color="FFFFFF"/>
              <w:right w:val="single" w:sz="12" w:space="0" w:color="FFFFFF"/>
            </w:tcBorders>
            <w:shd w:val="clear" w:color="auto" w:fill="003A70"/>
          </w:tcPr>
          <w:p w14:paraId="66B69358"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Monto ejecutado</w:t>
            </w:r>
          </w:p>
        </w:tc>
        <w:tc>
          <w:tcPr>
            <w:tcW w:w="328" w:type="pct"/>
            <w:tcBorders>
              <w:left w:val="single" w:sz="12" w:space="0" w:color="FFFFFF"/>
              <w:bottom w:val="single" w:sz="12" w:space="0" w:color="FFFFFF"/>
              <w:right w:val="single" w:sz="12" w:space="0" w:color="FFFFFF"/>
            </w:tcBorders>
            <w:shd w:val="clear" w:color="auto" w:fill="003A70"/>
          </w:tcPr>
          <w:p w14:paraId="053F8F28"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Información cualitativa</w:t>
            </w:r>
          </w:p>
        </w:tc>
        <w:tc>
          <w:tcPr>
            <w:tcW w:w="295" w:type="pct"/>
            <w:vMerge/>
            <w:tcBorders>
              <w:left w:val="single" w:sz="12" w:space="0" w:color="FFFFFF"/>
              <w:bottom w:val="single" w:sz="12" w:space="0" w:color="FFFFFF"/>
              <w:right w:val="single" w:sz="12" w:space="0" w:color="FFFFFF"/>
            </w:tcBorders>
          </w:tcPr>
          <w:p w14:paraId="7263B27E"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27" w:type="pct"/>
            <w:vMerge/>
            <w:tcBorders>
              <w:top w:val="single" w:sz="12" w:space="0" w:color="FFFFFF"/>
              <w:left w:val="single" w:sz="12" w:space="0" w:color="FFFFFF"/>
              <w:bottom w:val="single" w:sz="12" w:space="0" w:color="FFFFFF"/>
              <w:right w:val="single" w:sz="12" w:space="0" w:color="FFFFFF"/>
            </w:tcBorders>
            <w:hideMark/>
          </w:tcPr>
          <w:p w14:paraId="75C3781E"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823" w:type="pct"/>
            <w:vMerge/>
            <w:tcBorders>
              <w:top w:val="single" w:sz="12" w:space="0" w:color="FFFFFF"/>
              <w:left w:val="single" w:sz="12" w:space="0" w:color="FFFFFF"/>
              <w:bottom w:val="single" w:sz="12" w:space="0" w:color="FFFFFF"/>
              <w:right w:val="single" w:sz="12" w:space="0" w:color="FFFFFF"/>
            </w:tcBorders>
            <w:hideMark/>
          </w:tcPr>
          <w:p w14:paraId="66E409E9"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vertAlign w:val="superscript"/>
              </w:rPr>
            </w:pPr>
          </w:p>
        </w:tc>
      </w:tr>
      <w:tr w:rsidR="00650798" w:rsidRPr="00462C13" w14:paraId="3167BB71" w14:textId="77777777" w:rsidTr="00650798">
        <w:trPr>
          <w:cnfStyle w:val="000000100000" w:firstRow="0" w:lastRow="0" w:firstColumn="0" w:lastColumn="0" w:oddVBand="0" w:evenVBand="0" w:oddHBand="1" w:evenHBand="0" w:firstRowFirstColumn="0" w:firstRowLastColumn="0" w:lastRowFirstColumn="0" w:lastRowLastColumn="0"/>
          <w:trHeight w:val="1994"/>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1F8F566" w14:textId="77777777" w:rsidR="006D3EDA" w:rsidRPr="00462C13" w:rsidRDefault="006D3EDA" w:rsidP="005B79CC">
            <w:pPr>
              <w:jc w:val="both"/>
              <w:rPr>
                <w:rFonts w:cs="Tahoma"/>
                <w:szCs w:val="16"/>
              </w:rPr>
            </w:pPr>
            <w:r w:rsidRPr="00462C13">
              <w:rPr>
                <w:rFonts w:cs="Tahoma"/>
                <w:b/>
                <w:bCs w:val="0"/>
                <w:szCs w:val="22"/>
              </w:rPr>
              <w:t xml:space="preserve">5.1 </w:t>
            </w:r>
            <w:r w:rsidRPr="00462C13">
              <w:rPr>
                <w:rFonts w:cs="Tahoma"/>
                <w:bCs w:val="0"/>
                <w:szCs w:val="22"/>
              </w:rPr>
              <w:t>Combatir la criminalidad organizada a través de la desarticulación de sus estructuras, coadyuvando así a la mejora de la seguridad del país.</w:t>
            </w:r>
          </w:p>
        </w:tc>
        <w:tc>
          <w:tcPr>
            <w:tcW w:w="352"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6EB454F" w14:textId="77777777" w:rsidR="006D3EDA" w:rsidRPr="00462C13"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szCs w:val="16"/>
              </w:rPr>
              <w:t xml:space="preserve">A.5.1.1 </w:t>
            </w:r>
            <w:r w:rsidRPr="00462C13">
              <w:rPr>
                <w:rFonts w:cs="Tahoma"/>
                <w:szCs w:val="16"/>
              </w:rPr>
              <w:t>Cantidad de redes de crimen organizado sobre trata de personas o tráfico ilícito de migrantes o actividades conexas desarticuladas.</w:t>
            </w:r>
          </w:p>
        </w:tc>
        <w:tc>
          <w:tcPr>
            <w:tcW w:w="32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ACEE042"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szCs w:val="16"/>
              </w:rPr>
              <w:t xml:space="preserve">2023-2026: </w:t>
            </w:r>
            <w:r w:rsidRPr="00462C13">
              <w:rPr>
                <w:rFonts w:cs="Tahoma"/>
                <w:szCs w:val="16"/>
              </w:rPr>
              <w:t>4</w:t>
            </w:r>
          </w:p>
          <w:p w14:paraId="2D7E27DC"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p>
          <w:p w14:paraId="5BCBDB44"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2023: 1</w:t>
            </w:r>
          </w:p>
          <w:p w14:paraId="36A7B052" w14:textId="77777777"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 xml:space="preserve">2024: 1 </w:t>
            </w:r>
          </w:p>
          <w:p w14:paraId="5A2413DA" w14:textId="5B45E2B1" w:rsidR="006D3EDA" w:rsidRPr="00462C13" w:rsidRDefault="006D3EDA"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 xml:space="preserve">2025: </w:t>
            </w:r>
            <w:r w:rsidR="00A12C11">
              <w:rPr>
                <w:rFonts w:cs="Tahoma"/>
                <w:szCs w:val="16"/>
              </w:rPr>
              <w:t>3</w:t>
            </w:r>
            <w:r w:rsidRPr="00462C13">
              <w:rPr>
                <w:rFonts w:cs="Tahoma"/>
                <w:szCs w:val="16"/>
              </w:rPr>
              <w:t xml:space="preserve"> </w:t>
            </w:r>
          </w:p>
          <w:p w14:paraId="351A78C6" w14:textId="321334D6" w:rsidR="006D3EDA" w:rsidRPr="00462C13" w:rsidRDefault="006D3EDA"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 xml:space="preserve">2026: </w:t>
            </w:r>
            <w:r w:rsidR="00A12C11">
              <w:rPr>
                <w:rFonts w:cs="Tahoma"/>
                <w:szCs w:val="16"/>
              </w:rPr>
              <w:t>3</w:t>
            </w:r>
          </w:p>
        </w:tc>
        <w:tc>
          <w:tcPr>
            <w:tcW w:w="16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39810F5" w14:textId="51D2239F" w:rsidR="006D3EDA" w:rsidRPr="00CE7843" w:rsidRDefault="003644F3" w:rsidP="005B79CC">
            <w:pPr>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8"/>
                <w:bdr w:val="none" w:sz="0" w:space="0" w:color="auto" w:frame="1"/>
              </w:rPr>
            </w:pPr>
            <w:r>
              <w:rPr>
                <w:rFonts w:cs="Tahoma"/>
              </w:rPr>
              <w:t>3</w:t>
            </w:r>
          </w:p>
        </w:tc>
        <w:tc>
          <w:tcPr>
            <w:tcW w:w="22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0BCF565B" w14:textId="6C9DFD87" w:rsidR="006D3EDA" w:rsidRPr="00CE7843" w:rsidRDefault="00A12C11"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Pr>
                <w:rFonts w:cs="Tahoma"/>
                <w:szCs w:val="16"/>
              </w:rPr>
              <w:t>2</w:t>
            </w:r>
          </w:p>
        </w:tc>
        <w:tc>
          <w:tcPr>
            <w:tcW w:w="19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C30A23F" w14:textId="055BAA01" w:rsidR="006D3EDA" w:rsidRPr="00CE7843" w:rsidRDefault="001C324D"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Pr>
                <w:rFonts w:cs="Tahoma"/>
                <w:szCs w:val="16"/>
              </w:rPr>
              <w:t>66,67</w:t>
            </w:r>
            <w:r w:rsidR="006D3EDA">
              <w:rPr>
                <w:rFonts w:cs="Tahoma"/>
                <w:szCs w:val="16"/>
              </w:rPr>
              <w:t>%</w:t>
            </w:r>
          </w:p>
        </w:tc>
        <w:tc>
          <w:tcPr>
            <w:tcW w:w="32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0CD25C6" w14:textId="26564187" w:rsidR="006D3EDA" w:rsidRPr="00462C13" w:rsidRDefault="00584250"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584250">
              <w:rPr>
                <w:rFonts w:cs="Tahoma"/>
                <w:szCs w:val="16"/>
              </w:rPr>
              <w:t>220.000.000,00</w:t>
            </w:r>
          </w:p>
        </w:tc>
        <w:tc>
          <w:tcPr>
            <w:tcW w:w="32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92F036F" w14:textId="53A5F114" w:rsidR="006D3EDA" w:rsidRPr="00462C13" w:rsidRDefault="00584250"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584250">
              <w:rPr>
                <w:rFonts w:cs="Tahoma"/>
                <w:szCs w:val="16"/>
              </w:rPr>
              <w:t>220.000.000,00</w:t>
            </w:r>
          </w:p>
        </w:tc>
        <w:tc>
          <w:tcPr>
            <w:tcW w:w="32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BA37F61"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Pr>
                <w:rFonts w:cs="Tahoma"/>
                <w:szCs w:val="16"/>
              </w:rPr>
              <w:t xml:space="preserve">No aplica </w:t>
            </w:r>
          </w:p>
        </w:tc>
        <w:tc>
          <w:tcPr>
            <w:tcW w:w="295"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A5AA613"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674B90">
              <w:rPr>
                <w:rFonts w:cs="Tahoma"/>
                <w:szCs w:val="16"/>
              </w:rPr>
              <w:t>Dirección General de Migración y Extranjería</w:t>
            </w:r>
          </w:p>
        </w:tc>
        <w:tc>
          <w:tcPr>
            <w:tcW w:w="327" w:type="pct"/>
            <w:tcBorders>
              <w:top w:val="single" w:sz="12" w:space="0" w:color="FFFFFF"/>
              <w:left w:val="single" w:sz="12" w:space="0" w:color="FFFFFF"/>
              <w:bottom w:val="single" w:sz="12" w:space="0" w:color="FFFFFF"/>
              <w:right w:val="single" w:sz="12" w:space="0" w:color="FFFFFF"/>
            </w:tcBorders>
            <w:shd w:val="clear" w:color="auto" w:fill="FFFF00"/>
          </w:tcPr>
          <w:p w14:paraId="72A1E7B6" w14:textId="625B08F1"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C43FB6">
              <w:rPr>
                <w:rFonts w:cs="Tahoma"/>
                <w:b/>
                <w:szCs w:val="16"/>
              </w:rPr>
              <w:t xml:space="preserve">Cumplimiento </w:t>
            </w:r>
            <w:r w:rsidR="00A12C11">
              <w:rPr>
                <w:rFonts w:cs="Tahoma"/>
                <w:b/>
                <w:szCs w:val="16"/>
              </w:rPr>
              <w:t>medio</w:t>
            </w:r>
          </w:p>
        </w:tc>
        <w:tc>
          <w:tcPr>
            <w:tcW w:w="1823"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89532EE" w14:textId="6B820939" w:rsidR="00A12C11" w:rsidRDefault="00A12C11"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Pr>
                <w:rFonts w:cs="Tahoma"/>
                <w:b/>
                <w:szCs w:val="16"/>
              </w:rPr>
              <w:t>O</w:t>
            </w:r>
            <w:r w:rsidRPr="00A12C11">
              <w:rPr>
                <w:rFonts w:cs="Tahoma"/>
                <w:b/>
                <w:szCs w:val="16"/>
              </w:rPr>
              <w:t xml:space="preserve">bstáculos </w:t>
            </w:r>
          </w:p>
          <w:p w14:paraId="4F750381" w14:textId="77777777" w:rsidR="00836BC0" w:rsidRPr="00836BC0" w:rsidRDefault="00836BC0" w:rsidP="00836BC0">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36BC0">
              <w:rPr>
                <w:rFonts w:cs="Tahoma"/>
                <w:szCs w:val="16"/>
              </w:rPr>
              <w:t>Durante el año 2025 se contabiliza la desarticulación de 2 redes criminales de trata de personas o tráfico ilícito de migrantes, se contó con el apoyo y colaboración de los entes policiales nacionales e internacionales, para realizar acciones sistematizadas y relacionadas   para la desarticulación de estas redes</w:t>
            </w:r>
          </w:p>
          <w:p w14:paraId="05CA5E93" w14:textId="571458BC" w:rsidR="006D3EDA" w:rsidRDefault="00836BC0" w:rsidP="00836BC0">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36BC0">
              <w:rPr>
                <w:rFonts w:cs="Tahoma"/>
                <w:szCs w:val="16"/>
              </w:rPr>
              <w:t>Sin embargo, a pesar de haberse efectuado las diligencias necesarias en todas las investigaciones que le fueron asignadas por parte de la fiscalía, así como trabajo externo de búsqueda de casos que pudieran relacionarse redes de crimen organizado, no resultaron en una investigación de crimen organizado, por lo que a pesar de los esfuerzos realizados no se logró judicializar el caso faltante. (Riesgo Institucional)</w:t>
            </w:r>
          </w:p>
          <w:p w14:paraId="6A8ABE0E" w14:textId="77777777" w:rsidR="00836BC0" w:rsidRDefault="00836BC0" w:rsidP="00A12C11">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p>
          <w:p w14:paraId="6A5266DE" w14:textId="481F0EE2" w:rsidR="00A12C11" w:rsidRDefault="00A12C11" w:rsidP="00A12C11">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525019">
              <w:rPr>
                <w:rFonts w:cs="Tahoma"/>
                <w:b/>
                <w:szCs w:val="16"/>
              </w:rPr>
              <w:t>Lecciones aprendidas</w:t>
            </w:r>
          </w:p>
          <w:p w14:paraId="4A696F23" w14:textId="029042D5" w:rsidR="003B0B2E" w:rsidRDefault="00836BC0"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836BC0">
              <w:rPr>
                <w:rFonts w:cs="Tahoma"/>
                <w:szCs w:val="16"/>
              </w:rPr>
              <w:t>Es importante indicar que los procesos para la investigación de una posible organización de víctimas de trata, es iniciada por el Ministerio Publico, la Policía Profesional de Migración es un órgano auxiliar de ésta en el delito de trata de personas , es decir la fiscalía es quien otorga la dirección funcional a la Gestión de Investigaciones para que realice el proceso de investigación, el cual conlleva efectuar diversas acciones que requieren la organización y coordinación del equipo responsable de la investigación; así como de la colaboración de otros entes policiales; pero se desconoce el tiempo que llevará este este proceso investigativo, por lo que el periodo es indeterminado para finalizado y la conclusión  puede resultar negativo. Dada la importancia de realizar estas investigaciones, a partir de diciembre del 2025, se activó el número 911 para recibir directamente en la Gestión de Investigaciones de la PPM las denuncias relacionadas con trata de personas; sin embargo, el requerimiento de remitir el caso a la Fiscalía es necesario y este ente luego del análisis, determinan si procede o no efectuar la investigación.</w:t>
            </w:r>
          </w:p>
          <w:p w14:paraId="1E0142AD" w14:textId="3551FE6B" w:rsidR="003B0B2E" w:rsidRPr="007B087D" w:rsidRDefault="003B0B2E" w:rsidP="003B0B2E">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p>
        </w:tc>
      </w:tr>
    </w:tbl>
    <w:p w14:paraId="459BD2B7" w14:textId="39FB7D97" w:rsidR="006D3EDA" w:rsidRPr="00462C13" w:rsidRDefault="006D3EDA" w:rsidP="006D3EDA">
      <w:pPr>
        <w:pStyle w:val="Default"/>
        <w:rPr>
          <w:rFonts w:ascii="Tahoma" w:eastAsia="Arial Narrow" w:hAnsi="Tahoma" w:cs="Tahoma"/>
          <w:sz w:val="16"/>
        </w:rPr>
      </w:pPr>
      <w:r w:rsidRPr="00462C13">
        <w:rPr>
          <w:rFonts w:ascii="Tahoma" w:eastAsia="Arial Narrow" w:hAnsi="Tahoma" w:cs="Tahoma"/>
          <w:sz w:val="16"/>
        </w:rPr>
        <w:t xml:space="preserve"> Fuente: Gestor de Investigaciones, Análisis e Inteligencia de la Policía Profesional de Migración, Dirección General de Migración y Extranjería, 202</w:t>
      </w:r>
      <w:r w:rsidR="008655FD">
        <w:rPr>
          <w:rFonts w:ascii="Tahoma" w:eastAsia="Arial Narrow" w:hAnsi="Tahoma" w:cs="Tahoma"/>
          <w:sz w:val="16"/>
        </w:rPr>
        <w:t>6</w:t>
      </w:r>
      <w:r w:rsidRPr="00462C13">
        <w:rPr>
          <w:rFonts w:ascii="Tahoma" w:eastAsia="Arial Narrow" w:hAnsi="Tahoma" w:cs="Tahoma"/>
          <w:sz w:val="16"/>
        </w:rPr>
        <w:t xml:space="preserve">. </w:t>
      </w:r>
    </w:p>
    <w:p w14:paraId="05EF90EC" w14:textId="77777777" w:rsidR="006D3EDA" w:rsidRDefault="006D3EDA" w:rsidP="006D3EDA">
      <w:pPr>
        <w:spacing w:after="0" w:line="240" w:lineRule="auto"/>
        <w:rPr>
          <w:rFonts w:cs="Tahoma"/>
          <w:b/>
          <w:sz w:val="24"/>
          <w:szCs w:val="20"/>
        </w:rPr>
      </w:pPr>
    </w:p>
    <w:p w14:paraId="71796FB2" w14:textId="77777777" w:rsidR="001B37C0" w:rsidRDefault="001B37C0" w:rsidP="006D3EDA">
      <w:pPr>
        <w:spacing w:after="0" w:line="240" w:lineRule="auto"/>
        <w:rPr>
          <w:rFonts w:cs="Tahoma"/>
          <w:b/>
          <w:sz w:val="24"/>
          <w:szCs w:val="20"/>
        </w:rPr>
      </w:pPr>
    </w:p>
    <w:p w14:paraId="4CE109BF" w14:textId="77777777" w:rsidR="00903362" w:rsidRDefault="00903362" w:rsidP="006D3EDA">
      <w:pPr>
        <w:spacing w:after="0" w:line="240" w:lineRule="auto"/>
        <w:rPr>
          <w:rFonts w:cs="Tahoma"/>
          <w:b/>
          <w:sz w:val="24"/>
          <w:szCs w:val="20"/>
        </w:rPr>
      </w:pPr>
    </w:p>
    <w:p w14:paraId="4176299E" w14:textId="77777777" w:rsidR="006D3EDA" w:rsidRPr="00462C13" w:rsidRDefault="006D3EDA" w:rsidP="006D3EDA">
      <w:pPr>
        <w:pStyle w:val="Ttulo2"/>
        <w:rPr>
          <w:rFonts w:cs="Tahoma"/>
        </w:rPr>
      </w:pPr>
      <w:bookmarkStart w:id="42" w:name="_Toc189055699"/>
      <w:bookmarkStart w:id="43" w:name="_Toc220401625"/>
      <w:r w:rsidRPr="00462C13">
        <w:rPr>
          <w:rFonts w:cs="Tahoma"/>
        </w:rPr>
        <w:lastRenderedPageBreak/>
        <w:t>Intervención Pública 6: Modelo Preventivo de Gestión Policial.</w:t>
      </w:r>
      <w:bookmarkEnd w:id="42"/>
      <w:bookmarkEnd w:id="43"/>
    </w:p>
    <w:p w14:paraId="6D2769FD" w14:textId="77777777" w:rsidR="006D3EDA" w:rsidRPr="00462C13" w:rsidRDefault="006D3EDA" w:rsidP="006D3EDA">
      <w:pPr>
        <w:spacing w:after="0" w:line="240" w:lineRule="auto"/>
        <w:rPr>
          <w:rFonts w:cs="Tahoma"/>
          <w:b/>
          <w:sz w:val="12"/>
          <w:szCs w:val="20"/>
          <w:highlight w:val="yellow"/>
        </w:rPr>
      </w:pPr>
    </w:p>
    <w:tbl>
      <w:tblPr>
        <w:tblStyle w:val="Tablaclsica3"/>
        <w:tblW w:w="5000" w:type="pct"/>
        <w:jc w:val="center"/>
        <w:tblLook w:val="04A0" w:firstRow="1" w:lastRow="0" w:firstColumn="1" w:lastColumn="0" w:noHBand="0" w:noVBand="1"/>
      </w:tblPr>
      <w:tblGrid>
        <w:gridCol w:w="1530"/>
        <w:gridCol w:w="1719"/>
        <w:gridCol w:w="1270"/>
        <w:gridCol w:w="675"/>
        <w:gridCol w:w="924"/>
        <w:gridCol w:w="858"/>
        <w:gridCol w:w="1458"/>
        <w:gridCol w:w="1458"/>
        <w:gridCol w:w="1209"/>
        <w:gridCol w:w="1126"/>
        <w:gridCol w:w="1365"/>
        <w:gridCol w:w="8022"/>
      </w:tblGrid>
      <w:tr w:rsidR="006D3EDA" w:rsidRPr="00462C13" w14:paraId="47E38570" w14:textId="77777777" w:rsidTr="005B79CC">
        <w:trPr>
          <w:cnfStyle w:val="100000000000" w:firstRow="1" w:lastRow="0" w:firstColumn="0" w:lastColumn="0" w:oddVBand="0" w:evenVBand="0" w:oddHBand="0" w:evenHBand="0" w:firstRowFirstColumn="0" w:firstRowLastColumn="0" w:lastRowFirstColumn="0" w:lastRowLastColumn="0"/>
          <w:trHeight w:val="242"/>
          <w:tblHeader/>
          <w:jc w:val="center"/>
        </w:trPr>
        <w:tc>
          <w:tcPr>
            <w:cnfStyle w:val="001000000000" w:firstRow="0" w:lastRow="0" w:firstColumn="1" w:lastColumn="0" w:oddVBand="0" w:evenVBand="0" w:oddHBand="0" w:evenHBand="0" w:firstRowFirstColumn="0" w:firstRowLastColumn="0" w:lastRowFirstColumn="0" w:lastRowLastColumn="0"/>
            <w:tcW w:w="354" w:type="pct"/>
            <w:vMerge w:val="restart"/>
            <w:tcBorders>
              <w:top w:val="single" w:sz="12" w:space="0" w:color="FFFFFF"/>
              <w:left w:val="single" w:sz="12" w:space="0" w:color="FFFFFF"/>
              <w:bottom w:val="single" w:sz="12" w:space="0" w:color="FFFFFF"/>
              <w:right w:val="single" w:sz="12" w:space="0" w:color="FFFFFF"/>
            </w:tcBorders>
            <w:shd w:val="clear" w:color="auto" w:fill="003A70"/>
          </w:tcPr>
          <w:p w14:paraId="2AF4290D" w14:textId="00B30502" w:rsidR="006D3EDA" w:rsidRPr="00462C13" w:rsidRDefault="006D3EDA" w:rsidP="005B79CC">
            <w:pPr>
              <w:rPr>
                <w:rFonts w:eastAsia="Arial Unicode MS" w:cs="Tahoma"/>
                <w:szCs w:val="16"/>
                <w:bdr w:val="none" w:sz="0" w:space="0" w:color="auto" w:frame="1"/>
              </w:rPr>
            </w:pPr>
            <w:r w:rsidRPr="00462C13">
              <w:rPr>
                <w:rFonts w:eastAsia="Arial Narrow" w:cs="Tahoma"/>
              </w:rPr>
              <w:t xml:space="preserve">     </w:t>
            </w:r>
            <w:r w:rsidRPr="00462C13">
              <w:rPr>
                <w:rFonts w:eastAsia="Arial Unicode MS" w:cs="Tahoma"/>
                <w:szCs w:val="16"/>
                <w:bdr w:val="none" w:sz="0" w:space="0" w:color="auto" w:frame="1"/>
              </w:rPr>
              <w:t xml:space="preserve">Objetivo </w:t>
            </w:r>
          </w:p>
        </w:tc>
        <w:tc>
          <w:tcPr>
            <w:tcW w:w="691" w:type="pct"/>
            <w:gridSpan w:val="2"/>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73D79AB5"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xml:space="preserve">Programación </w:t>
            </w:r>
          </w:p>
          <w:p w14:paraId="3156FA6E"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PNDIP 2023-2026</w:t>
            </w:r>
          </w:p>
        </w:tc>
        <w:tc>
          <w:tcPr>
            <w:tcW w:w="3955" w:type="pct"/>
            <w:gridSpan w:val="9"/>
            <w:tcBorders>
              <w:top w:val="single" w:sz="12" w:space="0" w:color="FFFFFF"/>
              <w:left w:val="single" w:sz="12" w:space="0" w:color="FFFFFF"/>
              <w:bottom w:val="single" w:sz="12" w:space="0" w:color="FFFFFF"/>
              <w:right w:val="single" w:sz="12" w:space="0" w:color="FFFFFF"/>
            </w:tcBorders>
            <w:shd w:val="clear" w:color="auto" w:fill="003A70"/>
          </w:tcPr>
          <w:p w14:paraId="70D21E5B" w14:textId="418FC1C1"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224BD7">
              <w:rPr>
                <w:rFonts w:eastAsia="Arial Unicode MS" w:cs="Tahoma"/>
                <w:szCs w:val="16"/>
                <w:bdr w:val="none" w:sz="0" w:space="0" w:color="auto" w:frame="1"/>
              </w:rPr>
              <w:t xml:space="preserve">Seguimiento </w:t>
            </w:r>
            <w:r>
              <w:rPr>
                <w:rFonts w:eastAsia="Arial Unicode MS" w:cs="Tahoma"/>
                <w:szCs w:val="16"/>
                <w:bdr w:val="none" w:sz="0" w:space="0" w:color="auto" w:frame="1"/>
              </w:rPr>
              <w:t xml:space="preserve">Anual </w:t>
            </w:r>
            <w:r w:rsidRPr="00224BD7">
              <w:rPr>
                <w:rFonts w:eastAsia="Arial Unicode MS" w:cs="Tahoma"/>
                <w:szCs w:val="16"/>
                <w:bdr w:val="none" w:sz="0" w:space="0" w:color="auto" w:frame="1"/>
              </w:rPr>
              <w:t>202</w:t>
            </w:r>
            <w:r w:rsidR="004B4F07">
              <w:rPr>
                <w:rFonts w:eastAsia="Arial Unicode MS" w:cs="Tahoma"/>
                <w:szCs w:val="16"/>
                <w:bdr w:val="none" w:sz="0" w:space="0" w:color="auto" w:frame="1"/>
              </w:rPr>
              <w:t>5</w:t>
            </w:r>
          </w:p>
        </w:tc>
      </w:tr>
      <w:tr w:rsidR="006D3EDA" w:rsidRPr="00462C13" w14:paraId="7FF38E96" w14:textId="77777777" w:rsidTr="005B79CC">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354" w:type="pct"/>
            <w:vMerge/>
            <w:tcBorders>
              <w:top w:val="single" w:sz="12" w:space="0" w:color="FFFFFF"/>
              <w:left w:val="single" w:sz="12" w:space="0" w:color="FFFFFF"/>
              <w:bottom w:val="single" w:sz="12" w:space="0" w:color="FFFFFF"/>
              <w:right w:val="single" w:sz="12" w:space="0" w:color="FFFFFF"/>
            </w:tcBorders>
            <w:shd w:val="clear" w:color="auto" w:fill="003A70"/>
            <w:hideMark/>
          </w:tcPr>
          <w:p w14:paraId="7E83079B" w14:textId="77777777" w:rsidR="006D3EDA" w:rsidRPr="00462C13" w:rsidRDefault="006D3EDA" w:rsidP="005B79CC">
            <w:pPr>
              <w:rPr>
                <w:rFonts w:eastAsia="Arial Unicode MS" w:cs="Tahoma"/>
                <w:szCs w:val="16"/>
                <w:bdr w:val="none" w:sz="0" w:space="0" w:color="auto" w:frame="1"/>
              </w:rPr>
            </w:pPr>
          </w:p>
        </w:tc>
        <w:tc>
          <w:tcPr>
            <w:tcW w:w="691" w:type="pct"/>
            <w:gridSpan w:val="2"/>
            <w:vMerge/>
            <w:tcBorders>
              <w:top w:val="single" w:sz="12" w:space="0" w:color="FFFFFF"/>
              <w:left w:val="single" w:sz="12" w:space="0" w:color="FFFFFF"/>
              <w:bottom w:val="single" w:sz="12" w:space="0" w:color="FFFFFF"/>
              <w:right w:val="single" w:sz="12" w:space="0" w:color="FFFFFF"/>
            </w:tcBorders>
            <w:shd w:val="clear" w:color="auto" w:fill="003A70"/>
            <w:hideMark/>
          </w:tcPr>
          <w:p w14:paraId="03C7B10F"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56" w:type="pct"/>
            <w:vMerge w:val="restart"/>
            <w:tcBorders>
              <w:top w:val="single" w:sz="12" w:space="0" w:color="FFFFFF"/>
              <w:left w:val="single" w:sz="12" w:space="0" w:color="FFFFFF"/>
              <w:right w:val="single" w:sz="12" w:space="0" w:color="FFFFFF"/>
            </w:tcBorders>
            <w:shd w:val="clear" w:color="auto" w:fill="003A70"/>
            <w:hideMark/>
          </w:tcPr>
          <w:p w14:paraId="1EE047B8"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Meta Anual</w:t>
            </w:r>
          </w:p>
        </w:tc>
        <w:tc>
          <w:tcPr>
            <w:tcW w:w="214"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1D2C2B52"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Absoluto</w:t>
            </w:r>
          </w:p>
        </w:tc>
        <w:tc>
          <w:tcPr>
            <w:tcW w:w="198" w:type="pct"/>
            <w:vMerge w:val="restart"/>
            <w:tcBorders>
              <w:top w:val="single" w:sz="12" w:space="0" w:color="FFFFFF"/>
              <w:left w:val="single" w:sz="12" w:space="0" w:color="FFFFFF"/>
              <w:right w:val="single" w:sz="12" w:space="0" w:color="FFFFFF"/>
            </w:tcBorders>
            <w:shd w:val="clear" w:color="auto" w:fill="003A70"/>
            <w:hideMark/>
          </w:tcPr>
          <w:p w14:paraId="4286BB96"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de avance</w:t>
            </w:r>
          </w:p>
        </w:tc>
        <w:tc>
          <w:tcPr>
            <w:tcW w:w="954" w:type="pct"/>
            <w:gridSpan w:val="3"/>
            <w:tcBorders>
              <w:top w:val="single" w:sz="12" w:space="0" w:color="FFFFFF"/>
              <w:left w:val="single" w:sz="12" w:space="0" w:color="FFFFFF"/>
              <w:bottom w:val="single" w:sz="4" w:space="0" w:color="auto"/>
              <w:right w:val="single" w:sz="12" w:space="0" w:color="FFFFFF"/>
            </w:tcBorders>
            <w:shd w:val="clear" w:color="auto" w:fill="003A70"/>
          </w:tcPr>
          <w:p w14:paraId="45D73851" w14:textId="363F2A10"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Presupuesto 202</w:t>
            </w:r>
            <w:r w:rsidR="004B4F07">
              <w:rPr>
                <w:rFonts w:eastAsia="Arial Unicode MS" w:cs="Tahoma"/>
                <w:szCs w:val="16"/>
                <w:bdr w:val="none" w:sz="0" w:space="0" w:color="auto" w:frame="1"/>
              </w:rPr>
              <w:t>5</w:t>
            </w:r>
          </w:p>
        </w:tc>
        <w:tc>
          <w:tcPr>
            <w:tcW w:w="260" w:type="pct"/>
            <w:vMerge w:val="restart"/>
            <w:tcBorders>
              <w:top w:val="single" w:sz="12" w:space="0" w:color="FFFFFF"/>
              <w:left w:val="single" w:sz="12" w:space="0" w:color="FFFFFF"/>
              <w:right w:val="single" w:sz="12" w:space="0" w:color="FFFFFF"/>
            </w:tcBorders>
            <w:shd w:val="clear" w:color="auto" w:fill="003A70"/>
          </w:tcPr>
          <w:p w14:paraId="6C98588F"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Responsable</w:t>
            </w:r>
          </w:p>
        </w:tc>
        <w:tc>
          <w:tcPr>
            <w:tcW w:w="316"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2B8A5DB0"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BF3111">
              <w:rPr>
                <w:rFonts w:eastAsia="Arial Unicode MS" w:cs="Tahoma"/>
                <w:szCs w:val="16"/>
                <w:bdr w:val="none" w:sz="0" w:space="0" w:color="auto" w:frame="1"/>
              </w:rPr>
              <w:t>Clasificación de cumplimiento</w:t>
            </w:r>
          </w:p>
        </w:tc>
        <w:tc>
          <w:tcPr>
            <w:tcW w:w="1856"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7638E69A"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vertAlign w:val="superscript"/>
              </w:rPr>
            </w:pPr>
            <w:r w:rsidRPr="007B087D">
              <w:rPr>
                <w:rFonts w:eastAsia="Arial Unicode MS" w:cs="Tahoma"/>
                <w:sz w:val="24"/>
                <w:szCs w:val="16"/>
                <w:bdr w:val="none" w:sz="0" w:space="0" w:color="auto" w:frame="1"/>
              </w:rPr>
              <w:t xml:space="preserve">Logros </w:t>
            </w:r>
          </w:p>
        </w:tc>
      </w:tr>
      <w:tr w:rsidR="003B0B2E" w:rsidRPr="00462C13" w14:paraId="05310805" w14:textId="77777777" w:rsidTr="005B79CC">
        <w:trPr>
          <w:cnfStyle w:val="100000000000" w:firstRow="1" w:lastRow="0" w:firstColumn="0" w:lastColumn="0" w:oddVBand="0" w:evenVBand="0" w:oddHBand="0" w:evenHBand="0" w:firstRowFirstColumn="0" w:firstRowLastColumn="0" w:lastRowFirstColumn="0" w:lastRowLastColumn="0"/>
          <w:trHeight w:val="493"/>
          <w:tblHeader/>
          <w:jc w:val="center"/>
        </w:trPr>
        <w:tc>
          <w:tcPr>
            <w:cnfStyle w:val="001000000000" w:firstRow="0" w:lastRow="0" w:firstColumn="1" w:lastColumn="0" w:oddVBand="0" w:evenVBand="0" w:oddHBand="0" w:evenHBand="0" w:firstRowFirstColumn="0" w:firstRowLastColumn="0" w:lastRowFirstColumn="0" w:lastRowLastColumn="0"/>
            <w:tcW w:w="354" w:type="pct"/>
            <w:vMerge/>
            <w:tcBorders>
              <w:top w:val="single" w:sz="12" w:space="0" w:color="FFFFFF"/>
              <w:left w:val="single" w:sz="12" w:space="0" w:color="FFFFFF"/>
              <w:bottom w:val="single" w:sz="12" w:space="0" w:color="FFFFFF"/>
              <w:right w:val="single" w:sz="12" w:space="0" w:color="FFFFFF"/>
            </w:tcBorders>
            <w:hideMark/>
          </w:tcPr>
          <w:p w14:paraId="3DB21F62" w14:textId="77777777" w:rsidR="006D3EDA" w:rsidRPr="00462C13" w:rsidRDefault="006D3EDA" w:rsidP="005B79CC">
            <w:pPr>
              <w:rPr>
                <w:rFonts w:eastAsia="Arial Unicode MS" w:cs="Tahoma"/>
                <w:szCs w:val="16"/>
                <w:bdr w:val="none" w:sz="0" w:space="0" w:color="auto" w:frame="1"/>
              </w:rPr>
            </w:pPr>
          </w:p>
        </w:tc>
        <w:tc>
          <w:tcPr>
            <w:tcW w:w="398" w:type="pct"/>
            <w:tcBorders>
              <w:top w:val="single" w:sz="12" w:space="0" w:color="FFFFFF"/>
              <w:left w:val="single" w:sz="12" w:space="0" w:color="FFFFFF"/>
              <w:bottom w:val="single" w:sz="12" w:space="0" w:color="FFFFFF"/>
              <w:right w:val="single" w:sz="12" w:space="0" w:color="FFFFFF"/>
            </w:tcBorders>
            <w:shd w:val="clear" w:color="auto" w:fill="003A70"/>
            <w:hideMark/>
          </w:tcPr>
          <w:p w14:paraId="756AB50F"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Indicadores</w:t>
            </w:r>
          </w:p>
        </w:tc>
        <w:tc>
          <w:tcPr>
            <w:tcW w:w="294" w:type="pct"/>
            <w:tcBorders>
              <w:top w:val="single" w:sz="12" w:space="0" w:color="FFFFFF"/>
              <w:left w:val="single" w:sz="12" w:space="0" w:color="FFFFFF"/>
              <w:bottom w:val="single" w:sz="12" w:space="0" w:color="FFFFFF"/>
              <w:right w:val="single" w:sz="12" w:space="0" w:color="FFFFFF"/>
            </w:tcBorders>
            <w:shd w:val="clear" w:color="auto" w:fill="003A70"/>
            <w:hideMark/>
          </w:tcPr>
          <w:p w14:paraId="19B1051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 xml:space="preserve">Metas Periodo </w:t>
            </w:r>
          </w:p>
        </w:tc>
        <w:tc>
          <w:tcPr>
            <w:tcW w:w="156" w:type="pct"/>
            <w:vMerge/>
            <w:tcBorders>
              <w:left w:val="single" w:sz="12" w:space="0" w:color="FFFFFF"/>
              <w:bottom w:val="single" w:sz="12" w:space="0" w:color="FFFFFF"/>
              <w:right w:val="single" w:sz="12" w:space="0" w:color="FFFFFF"/>
            </w:tcBorders>
            <w:hideMark/>
          </w:tcPr>
          <w:p w14:paraId="371C70D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14" w:type="pct"/>
            <w:vMerge/>
            <w:tcBorders>
              <w:top w:val="single" w:sz="12" w:space="0" w:color="FFFFFF"/>
              <w:left w:val="single" w:sz="12" w:space="0" w:color="FFFFFF"/>
              <w:bottom w:val="single" w:sz="12" w:space="0" w:color="FFFFFF"/>
              <w:right w:val="single" w:sz="12" w:space="0" w:color="FFFFFF"/>
            </w:tcBorders>
            <w:shd w:val="clear" w:color="auto" w:fill="003366"/>
            <w:hideMark/>
          </w:tcPr>
          <w:p w14:paraId="59228249"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98" w:type="pct"/>
            <w:vMerge/>
            <w:tcBorders>
              <w:left w:val="single" w:sz="12" w:space="0" w:color="FFFFFF"/>
              <w:bottom w:val="single" w:sz="12" w:space="0" w:color="FFFFFF"/>
              <w:right w:val="single" w:sz="12" w:space="0" w:color="FFFFFF"/>
            </w:tcBorders>
            <w:hideMark/>
          </w:tcPr>
          <w:p w14:paraId="1BED069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37" w:type="pct"/>
            <w:tcBorders>
              <w:left w:val="single" w:sz="12" w:space="0" w:color="FFFFFF"/>
              <w:bottom w:val="single" w:sz="12" w:space="0" w:color="FFFFFF"/>
              <w:right w:val="single" w:sz="12" w:space="0" w:color="FFFFFF"/>
            </w:tcBorders>
            <w:shd w:val="clear" w:color="auto" w:fill="003A70"/>
          </w:tcPr>
          <w:p w14:paraId="6F234B36"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rPr>
            </w:pPr>
            <w:r w:rsidRPr="00650798">
              <w:rPr>
                <w:rFonts w:ascii="Arial" w:eastAsia="Arial Unicode MS" w:hAnsi="Arial" w:cs="Arial"/>
                <w:color w:val="auto"/>
                <w:szCs w:val="12"/>
                <w:bdr w:val="none" w:sz="0" w:space="0" w:color="auto" w:frame="1"/>
                <w:lang w:eastAsia="en-US"/>
              </w:rPr>
              <w:t>Presupuesto programado</w:t>
            </w:r>
          </w:p>
        </w:tc>
        <w:tc>
          <w:tcPr>
            <w:tcW w:w="337" w:type="pct"/>
            <w:tcBorders>
              <w:left w:val="single" w:sz="12" w:space="0" w:color="FFFFFF"/>
              <w:bottom w:val="single" w:sz="12" w:space="0" w:color="FFFFFF"/>
              <w:right w:val="single" w:sz="12" w:space="0" w:color="FFFFFF"/>
            </w:tcBorders>
            <w:shd w:val="clear" w:color="auto" w:fill="003A70"/>
          </w:tcPr>
          <w:p w14:paraId="38094DD4"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Monto ejecutado</w:t>
            </w:r>
          </w:p>
        </w:tc>
        <w:tc>
          <w:tcPr>
            <w:tcW w:w="280" w:type="pct"/>
            <w:tcBorders>
              <w:left w:val="single" w:sz="12" w:space="0" w:color="FFFFFF"/>
              <w:bottom w:val="single" w:sz="12" w:space="0" w:color="FFFFFF"/>
              <w:right w:val="single" w:sz="12" w:space="0" w:color="FFFFFF"/>
            </w:tcBorders>
            <w:shd w:val="clear" w:color="auto" w:fill="003A70"/>
          </w:tcPr>
          <w:p w14:paraId="57FB978E"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Información cualitativa</w:t>
            </w:r>
          </w:p>
        </w:tc>
        <w:tc>
          <w:tcPr>
            <w:tcW w:w="260" w:type="pct"/>
            <w:vMerge/>
            <w:tcBorders>
              <w:left w:val="single" w:sz="12" w:space="0" w:color="FFFFFF"/>
              <w:bottom w:val="single" w:sz="12" w:space="0" w:color="FFFFFF"/>
              <w:right w:val="single" w:sz="12" w:space="0" w:color="FFFFFF"/>
            </w:tcBorders>
          </w:tcPr>
          <w:p w14:paraId="69F1FEBF"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16" w:type="pct"/>
            <w:vMerge/>
            <w:tcBorders>
              <w:top w:val="single" w:sz="12" w:space="0" w:color="FFFFFF"/>
              <w:left w:val="single" w:sz="12" w:space="0" w:color="FFFFFF"/>
              <w:bottom w:val="single" w:sz="12" w:space="0" w:color="FFFFFF"/>
              <w:right w:val="single" w:sz="12" w:space="0" w:color="FFFFFF"/>
            </w:tcBorders>
            <w:hideMark/>
          </w:tcPr>
          <w:p w14:paraId="03C6CF44"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856" w:type="pct"/>
            <w:vMerge/>
            <w:tcBorders>
              <w:top w:val="single" w:sz="12" w:space="0" w:color="FFFFFF"/>
              <w:left w:val="single" w:sz="12" w:space="0" w:color="FFFFFF"/>
              <w:bottom w:val="single" w:sz="12" w:space="0" w:color="FFFFFF"/>
              <w:right w:val="single" w:sz="12" w:space="0" w:color="FFFFFF"/>
            </w:tcBorders>
            <w:hideMark/>
          </w:tcPr>
          <w:p w14:paraId="7D0A0A1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vertAlign w:val="superscript"/>
              </w:rPr>
            </w:pPr>
          </w:p>
        </w:tc>
      </w:tr>
      <w:tr w:rsidR="006D3EDA" w:rsidRPr="00462C13" w14:paraId="747FBA1A" w14:textId="77777777" w:rsidTr="005B79CC">
        <w:trPr>
          <w:cnfStyle w:val="000000100000" w:firstRow="0" w:lastRow="0" w:firstColumn="0" w:lastColumn="0" w:oddVBand="0" w:evenVBand="0" w:oddHBand="1" w:evenHBand="0" w:firstRowFirstColumn="0" w:firstRowLastColumn="0" w:lastRowFirstColumn="0" w:lastRowLastColumn="0"/>
          <w:trHeight w:val="1994"/>
          <w:jc w:val="center"/>
        </w:trPr>
        <w:tc>
          <w:tcPr>
            <w:cnfStyle w:val="001000000000" w:firstRow="0" w:lastRow="0" w:firstColumn="1" w:lastColumn="0" w:oddVBand="0" w:evenVBand="0" w:oddHBand="0" w:evenHBand="0" w:firstRowFirstColumn="0" w:firstRowLastColumn="0" w:lastRowFirstColumn="0" w:lastRowLastColumn="0"/>
            <w:tcW w:w="354" w:type="pct"/>
            <w:vMerge w:val="restart"/>
            <w:tcBorders>
              <w:top w:val="single" w:sz="12" w:space="0" w:color="FFFFFF"/>
              <w:left w:val="single" w:sz="12" w:space="0" w:color="FFFFFF"/>
              <w:right w:val="single" w:sz="12" w:space="0" w:color="FFFFFF"/>
            </w:tcBorders>
            <w:shd w:val="clear" w:color="auto" w:fill="F2F2F2" w:themeFill="background1" w:themeFillShade="F2"/>
          </w:tcPr>
          <w:p w14:paraId="450D5333" w14:textId="77777777" w:rsidR="006D3EDA" w:rsidRDefault="006D3EDA" w:rsidP="005B79CC">
            <w:pPr>
              <w:jc w:val="both"/>
              <w:rPr>
                <w:rFonts w:cs="Tahoma"/>
                <w:bCs w:val="0"/>
                <w:szCs w:val="16"/>
              </w:rPr>
            </w:pPr>
            <w:r w:rsidRPr="004B25B9">
              <w:rPr>
                <w:rFonts w:cs="Tahoma"/>
                <w:b/>
                <w:bCs w:val="0"/>
                <w:szCs w:val="16"/>
              </w:rPr>
              <w:t xml:space="preserve">6.1 </w:t>
            </w:r>
            <w:r w:rsidRPr="004B25B9">
              <w:rPr>
                <w:rFonts w:cs="Tahoma"/>
                <w:szCs w:val="16"/>
              </w:rPr>
              <w:t>Articular capacidades institucionales e interinstitucionales que faciliten la identificación y categorización de estructuras criminales y delincuenciales, así como fenómenos y factores que inciden y afectan la seguridad y convivencia ciudadana en el marco del Modelo Preventivo de Gestión de la Fuerza Pública.</w:t>
            </w:r>
          </w:p>
          <w:p w14:paraId="2B3DABE3" w14:textId="77777777" w:rsidR="006D3EDA" w:rsidRPr="00462C13" w:rsidRDefault="006D3EDA" w:rsidP="005B79CC">
            <w:pPr>
              <w:jc w:val="both"/>
              <w:rPr>
                <w:rFonts w:cs="Tahoma"/>
                <w:szCs w:val="16"/>
              </w:rPr>
            </w:pPr>
            <w:r w:rsidRPr="004B25B9">
              <w:rPr>
                <w:rFonts w:cs="Tahoma"/>
                <w:szCs w:val="16"/>
              </w:rPr>
              <w:br/>
            </w:r>
            <w:r w:rsidRPr="004B25B9">
              <w:rPr>
                <w:rFonts w:cs="Tahoma"/>
                <w:szCs w:val="16"/>
              </w:rPr>
              <w:br/>
            </w:r>
            <w:r w:rsidRPr="004B25B9">
              <w:rPr>
                <w:rFonts w:cs="Tahoma"/>
                <w:b/>
                <w:bCs w:val="0"/>
                <w:szCs w:val="16"/>
              </w:rPr>
              <w:t xml:space="preserve">Nota: </w:t>
            </w:r>
            <w:r w:rsidRPr="004B25B9">
              <w:rPr>
                <w:rFonts w:cs="Tahoma"/>
                <w:szCs w:val="16"/>
              </w:rPr>
              <w:t>se modificó el objetivo de la intervención</w:t>
            </w:r>
            <w:r>
              <w:rPr>
                <w:rFonts w:cs="Tahoma"/>
                <w:szCs w:val="16"/>
              </w:rPr>
              <w:t>.</w:t>
            </w:r>
            <w:r w:rsidRPr="004B25B9">
              <w:rPr>
                <w:rFonts w:cs="Tahoma"/>
                <w:szCs w:val="16"/>
              </w:rPr>
              <w:t xml:space="preserve"> </w:t>
            </w:r>
            <w:r>
              <w:rPr>
                <w:rFonts w:cs="Tahoma"/>
                <w:szCs w:val="16"/>
              </w:rPr>
              <w:t>O</w:t>
            </w:r>
            <w:r w:rsidRPr="004B25B9">
              <w:rPr>
                <w:rFonts w:cs="Tahoma"/>
                <w:szCs w:val="16"/>
              </w:rPr>
              <w:t>ficio</w:t>
            </w:r>
            <w:r>
              <w:rPr>
                <w:rFonts w:cs="Tahoma"/>
                <w:szCs w:val="16"/>
              </w:rPr>
              <w:t xml:space="preserve"> de aprobación </w:t>
            </w:r>
            <w:r w:rsidRPr="004B25B9">
              <w:rPr>
                <w:rFonts w:cs="Tahoma"/>
                <w:szCs w:val="16"/>
              </w:rPr>
              <w:t>MIDEPLAN-DVM-OF-0063-2024.</w:t>
            </w:r>
          </w:p>
        </w:tc>
        <w:tc>
          <w:tcPr>
            <w:tcW w:w="39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7F7ED91" w14:textId="77777777" w:rsidR="006D3EDA"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22"/>
              </w:rPr>
            </w:pPr>
            <w:r w:rsidRPr="00462C13">
              <w:rPr>
                <w:rFonts w:cs="Tahoma"/>
                <w:b/>
                <w:bCs/>
                <w:szCs w:val="22"/>
              </w:rPr>
              <w:t>A.6.1.1</w:t>
            </w:r>
            <w:r w:rsidRPr="00462C13">
              <w:rPr>
                <w:rFonts w:cs="Tahoma"/>
                <w:szCs w:val="22"/>
              </w:rPr>
              <w:t xml:space="preserve"> </w:t>
            </w:r>
            <w:r w:rsidRPr="00901AAE">
              <w:rPr>
                <w:rFonts w:cs="Tahoma"/>
                <w:szCs w:val="22"/>
              </w:rPr>
              <w:t>Porcentaje de operativos policiales articulados y registrados mediante Órdenes de Servicio a partir de los insumos generados del Modelo de Articulación Operacional, en el marco de la Estrategia Sembremos Seguridad.</w:t>
            </w:r>
          </w:p>
          <w:p w14:paraId="7D61C62A" w14:textId="77777777" w:rsidR="006D3EDA" w:rsidRDefault="006D3EDA" w:rsidP="005B7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22"/>
              </w:rPr>
            </w:pPr>
          </w:p>
          <w:p w14:paraId="269A539F" w14:textId="77777777" w:rsidR="006D3EDA" w:rsidRPr="00462C13" w:rsidRDefault="006D3EDA" w:rsidP="00F810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p>
        </w:tc>
        <w:tc>
          <w:tcPr>
            <w:tcW w:w="29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0986B1C3" w14:textId="77777777" w:rsidR="006D3EDA" w:rsidRPr="00462C13" w:rsidRDefault="006D3EDA"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bCs/>
                <w:szCs w:val="22"/>
              </w:rPr>
              <w:t xml:space="preserve">2023-2026: </w:t>
            </w:r>
            <w:r w:rsidRPr="00462C13">
              <w:rPr>
                <w:rFonts w:cs="Tahoma"/>
                <w:szCs w:val="22"/>
              </w:rPr>
              <w:t xml:space="preserve">90% </w:t>
            </w:r>
            <w:r w:rsidRPr="00462C13">
              <w:rPr>
                <w:rFonts w:cs="Tahoma"/>
                <w:szCs w:val="22"/>
              </w:rPr>
              <w:br/>
            </w:r>
            <w:r w:rsidRPr="00462C13">
              <w:rPr>
                <w:rFonts w:cs="Tahoma"/>
                <w:szCs w:val="22"/>
              </w:rPr>
              <w:br/>
              <w:t>2023: 70%</w:t>
            </w:r>
            <w:r w:rsidRPr="00462C13">
              <w:rPr>
                <w:rFonts w:cs="Tahoma"/>
                <w:szCs w:val="22"/>
              </w:rPr>
              <w:br/>
              <w:t xml:space="preserve">2024: 75% </w:t>
            </w:r>
            <w:r w:rsidRPr="00462C13">
              <w:rPr>
                <w:rFonts w:cs="Tahoma"/>
                <w:szCs w:val="22"/>
              </w:rPr>
              <w:br/>
              <w:t xml:space="preserve">2025: 80% </w:t>
            </w:r>
            <w:r w:rsidRPr="00462C13">
              <w:rPr>
                <w:rFonts w:cs="Tahoma"/>
                <w:szCs w:val="22"/>
              </w:rPr>
              <w:br/>
              <w:t>2026: 90%</w:t>
            </w:r>
          </w:p>
        </w:tc>
        <w:tc>
          <w:tcPr>
            <w:tcW w:w="15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0F5E45C2" w14:textId="6A8D0031" w:rsidR="006D3EDA" w:rsidRPr="00CE7843" w:rsidRDefault="00B36021" w:rsidP="005B79CC">
            <w:pPr>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8"/>
                <w:bdr w:val="none" w:sz="0" w:space="0" w:color="auto" w:frame="1"/>
              </w:rPr>
            </w:pPr>
            <w:r>
              <w:rPr>
                <w:rFonts w:cs="Tahoma"/>
                <w:bCs/>
                <w:szCs w:val="18"/>
              </w:rPr>
              <w:t>80</w:t>
            </w:r>
            <w:r w:rsidR="006D3EDA" w:rsidRPr="00462C13">
              <w:rPr>
                <w:rFonts w:cs="Tahoma"/>
                <w:bCs/>
                <w:szCs w:val="18"/>
              </w:rPr>
              <w:t>%</w:t>
            </w:r>
          </w:p>
        </w:tc>
        <w:tc>
          <w:tcPr>
            <w:tcW w:w="2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EA6D4A2" w14:textId="39FE3B00" w:rsidR="006D3EDA" w:rsidRPr="008D2D7B" w:rsidRDefault="00A45081"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78,97</w:t>
            </w:r>
            <w:r w:rsidR="006D3EDA" w:rsidRPr="008D2D7B">
              <w:rPr>
                <w:rFonts w:cs="Tahoma"/>
                <w:szCs w:val="22"/>
              </w:rPr>
              <w:t>%</w:t>
            </w:r>
          </w:p>
        </w:tc>
        <w:tc>
          <w:tcPr>
            <w:tcW w:w="19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1380452" w14:textId="613E2F72" w:rsidR="006D3EDA" w:rsidRPr="008D2D7B" w:rsidRDefault="008D2D7B"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98,71%</w:t>
            </w:r>
          </w:p>
        </w:tc>
        <w:tc>
          <w:tcPr>
            <w:tcW w:w="33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D0AA3D7" w14:textId="6D92DB23" w:rsidR="006D3EDA" w:rsidRPr="00B36021" w:rsidRDefault="00C14E33"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C14E33">
              <w:rPr>
                <w:rFonts w:cs="Tahoma"/>
                <w:szCs w:val="16"/>
              </w:rPr>
              <w:t>1.554.356.984,91</w:t>
            </w:r>
          </w:p>
        </w:tc>
        <w:tc>
          <w:tcPr>
            <w:tcW w:w="33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C3C5814" w14:textId="7E3A4CA8" w:rsidR="006D3EDA" w:rsidRPr="00B36021" w:rsidRDefault="00A45081"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A45081">
              <w:rPr>
                <w:rFonts w:cs="Tahoma"/>
                <w:szCs w:val="16"/>
              </w:rPr>
              <w:t>1.554.356.984,91</w:t>
            </w:r>
          </w:p>
        </w:tc>
        <w:tc>
          <w:tcPr>
            <w:tcW w:w="28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20BE38A"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Pr>
                <w:rFonts w:cs="Tahoma"/>
                <w:szCs w:val="16"/>
              </w:rPr>
              <w:t xml:space="preserve">No aplica </w:t>
            </w:r>
          </w:p>
        </w:tc>
        <w:tc>
          <w:tcPr>
            <w:tcW w:w="26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D24EAAA" w14:textId="77777777" w:rsidR="006D3EDA" w:rsidRPr="00757854" w:rsidRDefault="006D3EDA" w:rsidP="005B79CC">
            <w:pPr>
              <w:pStyle w:val="Default"/>
              <w:jc w:val="cente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757854">
              <w:rPr>
                <w:rFonts w:ascii="Tahoma" w:hAnsi="Tahoma" w:cs="Tahoma"/>
                <w:sz w:val="16"/>
                <w:szCs w:val="16"/>
              </w:rPr>
              <w:t xml:space="preserve">Director General de la Fuerza Pública. Ministerio de Seguridad Pública </w:t>
            </w:r>
          </w:p>
          <w:p w14:paraId="6C4B6B2C" w14:textId="77777777" w:rsidR="006D3EDA" w:rsidRPr="00757854"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p>
        </w:tc>
        <w:tc>
          <w:tcPr>
            <w:tcW w:w="316" w:type="pct"/>
            <w:tcBorders>
              <w:top w:val="single" w:sz="12" w:space="0" w:color="FFFFFF"/>
              <w:left w:val="single" w:sz="12" w:space="0" w:color="FFFFFF"/>
              <w:bottom w:val="single" w:sz="12" w:space="0" w:color="FFFFFF"/>
              <w:right w:val="single" w:sz="12" w:space="0" w:color="FFFFFF"/>
            </w:tcBorders>
            <w:shd w:val="clear" w:color="auto" w:fill="92D050"/>
          </w:tcPr>
          <w:p w14:paraId="245B7B03"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C43FB6">
              <w:rPr>
                <w:rFonts w:cs="Tahoma"/>
                <w:b/>
                <w:szCs w:val="16"/>
              </w:rPr>
              <w:t>Cumplimiento alto</w:t>
            </w:r>
          </w:p>
        </w:tc>
        <w:tc>
          <w:tcPr>
            <w:tcW w:w="185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48AD7A9" w14:textId="77777777" w:rsidR="006D3EDA" w:rsidRDefault="006D3ED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Logros </w:t>
            </w:r>
          </w:p>
          <w:p w14:paraId="46009E8B" w14:textId="77777777" w:rsidR="008D2D7B" w:rsidRPr="008D2D7B" w:rsidRDefault="008D2D7B" w:rsidP="008D2D7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 xml:space="preserve">Se llevaron a cabo un total de 886 operativos articulados con dos o más cuerpos policiales de los cuales de los cuales 707 operativos se realizaron con el Organismo de Investigación Judicial (OIJ), 173 con la Policía de Control de Drogas (PCD), 01 con el Sistema Nacional de Áreas de Conservación (SINAC), 03 con la Policía Penitenciaria, 01 con la Refinadora Costarricense de Petróleo (RECOPE) y 01 operativo con la Policía Fiscal, estas acciones permitieron: </w:t>
            </w:r>
          </w:p>
          <w:p w14:paraId="20CF141D" w14:textId="77777777" w:rsidR="008D2D7B" w:rsidRPr="008D2D7B" w:rsidRDefault="008D2D7B" w:rsidP="008D2D7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4343594D" w14:textId="4716FBBA"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Debilitar la capacidad operativa de estructuras criminales mediante la aprehensión de 1.827 personas vinculadas a actividades delictivas, asociadas a 56 estructuras criminales activas.</w:t>
            </w:r>
          </w:p>
          <w:p w14:paraId="09C5C4BB" w14:textId="59EFBE4C"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Reducir la circulación de drogas y armas de fuego en las comunidades, mediante el decomiso de más de 2.135,9 kilogramos de droga, 495 armas de fuego y 13.929 municiones, disminuyendo la probabilidad de hechos violentos y delitos de alto impacto.</w:t>
            </w:r>
          </w:p>
          <w:p w14:paraId="0318E0AD" w14:textId="30C35226"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Reducir la capacidad financiera de origen ilícito de las organizaciones criminales, mediante el decomiso de ¢291 millones, $536 mil y €1.250, limitando la capacidad financiera de organizaciones criminales para sostener sus actividades.</w:t>
            </w:r>
          </w:p>
          <w:p w14:paraId="6C6FFCCD" w14:textId="5719BFEA"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Mejorar las condiciones de seguridad en distritos priorizados, evidenciando una disminución acumulada de 34 homicidios, 30 personas heridas, 573 delitos contra la propiedad y 139 asaltos, lo que impacta positivamente la percepción de seguridad y la convivencia ciudadana.</w:t>
            </w:r>
          </w:p>
          <w:p w14:paraId="1F4227E8" w14:textId="77777777" w:rsidR="008D2D7B" w:rsidRPr="008D2D7B" w:rsidRDefault="008D2D7B" w:rsidP="008D2D7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4801BB2F" w14:textId="77777777" w:rsidR="008D2D7B" w:rsidRPr="008D2D7B" w:rsidRDefault="008D2D7B" w:rsidP="008D2D7B">
            <w:pPr>
              <w:tabs>
                <w:tab w:val="left" w:pos="1650"/>
              </w:tabs>
              <w:cnfStyle w:val="000000100000" w:firstRow="0" w:lastRow="0" w:firstColumn="0" w:lastColumn="0" w:oddVBand="0" w:evenVBand="0" w:oddHBand="1" w:evenHBand="0" w:firstRowFirstColumn="0" w:firstRowLastColumn="0" w:lastRowFirstColumn="0" w:lastRowLastColumn="0"/>
              <w:rPr>
                <w:rFonts w:cs="Tahoma"/>
                <w:b/>
                <w:bCs/>
                <w:szCs w:val="16"/>
              </w:rPr>
            </w:pPr>
            <w:r w:rsidRPr="008D2D7B">
              <w:rPr>
                <w:rFonts w:cs="Tahoma"/>
                <w:b/>
                <w:bCs/>
                <w:szCs w:val="16"/>
              </w:rPr>
              <w:t>BENEFICIOS:</w:t>
            </w:r>
          </w:p>
          <w:p w14:paraId="0576D3FE" w14:textId="0712FFB7"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Las acciones desarrolladas en el marco del Modelo de Articulación Policial, generan un beneficio directo y tangible para la población, al contribuir en la reducción del riesgo delictivo y así fortalecer la seguridad ciudadana en los territorios priorizados.</w:t>
            </w:r>
          </w:p>
          <w:p w14:paraId="3AAF698D" w14:textId="798C8FF1"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Incautación de chalecos antibalas y armas, lo cual contribuye en la disminución del riesgo para la población y el personal policial durante las intervenciones operativas.</w:t>
            </w:r>
          </w:p>
          <w:p w14:paraId="76711B7D" w14:textId="131A9223"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 xml:space="preserve">Incautación de drogas haciendo que se tenga menor cantidad en el mercado para venta y consumo. </w:t>
            </w:r>
          </w:p>
          <w:p w14:paraId="6C387F5F" w14:textId="75E90DBA"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Decomiso de armas de fuego, que genera mayor seguridad en la ciudadanía, prevención de la violencia armada, disminución de focos de violencia armada.</w:t>
            </w:r>
          </w:p>
          <w:p w14:paraId="4E7B4E2E" w14:textId="0CC26695"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Abordaje de estructuras criminales, que buscan la desestabilización de esas organizaciones en pro de la seguridad de las comunidades.</w:t>
            </w:r>
          </w:p>
          <w:p w14:paraId="6B731F7D" w14:textId="21ED717A"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Identificación y desarticulación de estructuras criminales y delincuenciales que afectan directamente a la población.</w:t>
            </w:r>
          </w:p>
          <w:p w14:paraId="3A8BE403" w14:textId="466AA567"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Llevar a cabo operaciones para la desestabilización de estructuras criminales enfocadas al robo de vehículos y venta de drogas.</w:t>
            </w:r>
          </w:p>
          <w:p w14:paraId="23B72C9F" w14:textId="35339191"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El combate contra delitos graves como tráfico de drogas, crean entornos más seguros para los ciudadanos</w:t>
            </w:r>
          </w:p>
          <w:p w14:paraId="453787F5" w14:textId="6B8391EF"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Colaboraciones con otras policías en la incautación de dinero, drogas, armas, municiones, vehículos.</w:t>
            </w:r>
          </w:p>
          <w:p w14:paraId="7E67A4AE" w14:textId="03D59121" w:rsidR="008D2D7B" w:rsidRPr="008D2D7B" w:rsidRDefault="008D2D7B" w:rsidP="008D2D7B">
            <w:pPr>
              <w:pStyle w:val="Prrafodelista"/>
              <w:numPr>
                <w:ilvl w:val="0"/>
                <w:numId w:val="33"/>
              </w:num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Detección de personas involucradas en actividades delictivas</w:t>
            </w:r>
          </w:p>
          <w:p w14:paraId="6925AFE1" w14:textId="77777777" w:rsidR="008D2D7B" w:rsidRPr="008D2D7B" w:rsidRDefault="008D2D7B" w:rsidP="008D2D7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2EAF0FF3" w14:textId="77777777" w:rsidR="006D3EDA" w:rsidRDefault="008D2D7B" w:rsidP="008D2D7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8D2D7B">
              <w:rPr>
                <w:rFonts w:cs="Tahoma"/>
                <w:szCs w:val="16"/>
              </w:rPr>
              <w:t>En síntesis, estos beneficios permiten genera entonos más seguros, con menor presencia de armas, drogas y actores criminales, así como, de respuestas policiales más efectivas y focalizadas, basadas en inteligencia y análisis territorial.</w:t>
            </w:r>
          </w:p>
          <w:p w14:paraId="509D1796" w14:textId="77777777" w:rsidR="008B63F0" w:rsidRDefault="008B63F0" w:rsidP="008D2D7B">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p>
          <w:p w14:paraId="186EFA29" w14:textId="65D93090" w:rsidR="00903362" w:rsidRPr="007B087D" w:rsidRDefault="00903362" w:rsidP="008D2D7B">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p>
        </w:tc>
      </w:tr>
      <w:tr w:rsidR="006D3EDA" w:rsidRPr="00462C13" w14:paraId="27B38C7B" w14:textId="77777777" w:rsidTr="005B79CC">
        <w:trPr>
          <w:cnfStyle w:val="000000010000" w:firstRow="0" w:lastRow="0" w:firstColumn="0" w:lastColumn="0" w:oddVBand="0" w:evenVBand="0" w:oddHBand="0" w:evenHBand="1" w:firstRowFirstColumn="0" w:firstRowLastColumn="0" w:lastRowFirstColumn="0" w:lastRowLastColumn="0"/>
          <w:trHeight w:val="1994"/>
          <w:jc w:val="center"/>
        </w:trPr>
        <w:tc>
          <w:tcPr>
            <w:cnfStyle w:val="001000000000" w:firstRow="0" w:lastRow="0" w:firstColumn="1" w:lastColumn="0" w:oddVBand="0" w:evenVBand="0" w:oddHBand="0" w:evenHBand="0" w:firstRowFirstColumn="0" w:firstRowLastColumn="0" w:lastRowFirstColumn="0" w:lastRowLastColumn="0"/>
            <w:tcW w:w="354" w:type="pct"/>
            <w:vMerge/>
            <w:tcBorders>
              <w:left w:val="single" w:sz="12" w:space="0" w:color="FFFFFF"/>
              <w:bottom w:val="single" w:sz="12" w:space="0" w:color="FFFFFF"/>
              <w:right w:val="single" w:sz="12" w:space="0" w:color="FFFFFF"/>
            </w:tcBorders>
            <w:shd w:val="clear" w:color="auto" w:fill="F2F2F2" w:themeFill="background1" w:themeFillShade="F2"/>
          </w:tcPr>
          <w:p w14:paraId="63137506" w14:textId="77777777" w:rsidR="006D3EDA" w:rsidRPr="00462C13" w:rsidRDefault="006D3EDA" w:rsidP="005B79CC">
            <w:pPr>
              <w:jc w:val="both"/>
              <w:rPr>
                <w:rFonts w:cs="Tahoma"/>
                <w:szCs w:val="16"/>
              </w:rPr>
            </w:pPr>
          </w:p>
        </w:tc>
        <w:tc>
          <w:tcPr>
            <w:tcW w:w="39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C7D5180" w14:textId="59633EEF" w:rsidR="006D3EDA" w:rsidRPr="004B25B9" w:rsidRDefault="006D3EDA" w:rsidP="005B79C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ahoma"/>
                <w:bCs/>
                <w:szCs w:val="22"/>
              </w:rPr>
            </w:pPr>
            <w:r w:rsidRPr="004B25B9">
              <w:rPr>
                <w:rFonts w:cs="Tahoma"/>
                <w:b/>
                <w:bCs/>
                <w:szCs w:val="22"/>
              </w:rPr>
              <w:t xml:space="preserve">A.6.1.2 </w:t>
            </w:r>
            <w:r w:rsidRPr="004B25B9">
              <w:rPr>
                <w:rFonts w:cs="Tahoma"/>
                <w:bCs/>
                <w:szCs w:val="22"/>
              </w:rPr>
              <w:t xml:space="preserve">Promedio del porcentaje mensual de Factores </w:t>
            </w:r>
            <w:r w:rsidR="00250A9A">
              <w:rPr>
                <w:rFonts w:cs="Tahoma"/>
                <w:bCs/>
                <w:szCs w:val="22"/>
              </w:rPr>
              <w:t xml:space="preserve">de </w:t>
            </w:r>
            <w:r w:rsidRPr="004B25B9">
              <w:rPr>
                <w:rFonts w:cs="Tahoma"/>
                <w:bCs/>
                <w:szCs w:val="22"/>
              </w:rPr>
              <w:t>Riesgos Situacionales relacionados a estructuras criminales, abordados mediante Orden de Ejecución en el marco de la Estrategia de Nodos Demandantes.</w:t>
            </w:r>
          </w:p>
          <w:p w14:paraId="6EAC9209" w14:textId="77777777" w:rsidR="006D3EDA" w:rsidRPr="004B25B9" w:rsidRDefault="006D3EDA" w:rsidP="005B79C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ahoma"/>
                <w:bCs/>
                <w:szCs w:val="22"/>
              </w:rPr>
            </w:pPr>
          </w:p>
          <w:p w14:paraId="6D6B4AE5" w14:textId="41608682" w:rsidR="006D3EDA" w:rsidRPr="00462C13" w:rsidRDefault="006D3EDA" w:rsidP="005B79C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ahoma"/>
                <w:szCs w:val="16"/>
              </w:rPr>
            </w:pPr>
          </w:p>
        </w:tc>
        <w:tc>
          <w:tcPr>
            <w:tcW w:w="29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825151F" w14:textId="77777777" w:rsidR="006D3EDA" w:rsidRDefault="006D3EDA" w:rsidP="005B79CC">
            <w:pPr>
              <w:jc w:val="left"/>
              <w:cnfStyle w:val="000000010000" w:firstRow="0" w:lastRow="0" w:firstColumn="0" w:lastColumn="0" w:oddVBand="0" w:evenVBand="0" w:oddHBand="0" w:evenHBand="1" w:firstRowFirstColumn="0" w:firstRowLastColumn="0" w:lastRowFirstColumn="0" w:lastRowLastColumn="0"/>
              <w:rPr>
                <w:rFonts w:cs="Tahoma"/>
                <w:b/>
                <w:bCs/>
                <w:szCs w:val="22"/>
              </w:rPr>
            </w:pPr>
            <w:r w:rsidRPr="00462C13">
              <w:rPr>
                <w:rFonts w:cs="Tahoma"/>
                <w:b/>
                <w:bCs/>
                <w:szCs w:val="22"/>
              </w:rPr>
              <w:t xml:space="preserve">2023-2026: </w:t>
            </w:r>
          </w:p>
          <w:p w14:paraId="51A82FAF" w14:textId="77777777" w:rsidR="006D3EDA" w:rsidRPr="00462C13" w:rsidRDefault="006D3EDA" w:rsidP="005B79CC">
            <w:pPr>
              <w:jc w:val="left"/>
              <w:cnfStyle w:val="000000010000" w:firstRow="0" w:lastRow="0" w:firstColumn="0" w:lastColumn="0" w:oddVBand="0" w:evenVBand="0" w:oddHBand="0" w:evenHBand="1" w:firstRowFirstColumn="0" w:firstRowLastColumn="0" w:lastRowFirstColumn="0" w:lastRowLastColumn="0"/>
              <w:rPr>
                <w:rFonts w:cs="Tahoma"/>
                <w:szCs w:val="16"/>
              </w:rPr>
            </w:pPr>
            <w:r w:rsidRPr="00462C13">
              <w:rPr>
                <w:rFonts w:cs="Tahoma"/>
                <w:szCs w:val="22"/>
              </w:rPr>
              <w:t xml:space="preserve">55 </w:t>
            </w:r>
            <w:r w:rsidRPr="00462C13">
              <w:rPr>
                <w:rFonts w:cs="Tahoma"/>
                <w:szCs w:val="22"/>
              </w:rPr>
              <w:br/>
            </w:r>
            <w:r w:rsidRPr="00462C13">
              <w:rPr>
                <w:rFonts w:cs="Tahoma"/>
                <w:szCs w:val="22"/>
              </w:rPr>
              <w:br/>
              <w:t>2023: 25</w:t>
            </w:r>
            <w:r w:rsidRPr="00462C13">
              <w:rPr>
                <w:rFonts w:cs="Tahoma"/>
                <w:szCs w:val="22"/>
              </w:rPr>
              <w:br/>
              <w:t xml:space="preserve">2024: </w:t>
            </w:r>
            <w:r>
              <w:rPr>
                <w:rFonts w:cs="Tahoma"/>
                <w:szCs w:val="22"/>
              </w:rPr>
              <w:t>40</w:t>
            </w:r>
            <w:r w:rsidRPr="00462C13">
              <w:rPr>
                <w:rFonts w:cs="Tahoma"/>
                <w:szCs w:val="22"/>
              </w:rPr>
              <w:t xml:space="preserve"> </w:t>
            </w:r>
            <w:r w:rsidRPr="00462C13">
              <w:rPr>
                <w:rFonts w:cs="Tahoma"/>
                <w:szCs w:val="22"/>
              </w:rPr>
              <w:br/>
              <w:t xml:space="preserve">2025: </w:t>
            </w:r>
            <w:r>
              <w:rPr>
                <w:rFonts w:cs="Tahoma"/>
                <w:szCs w:val="22"/>
              </w:rPr>
              <w:t>5</w:t>
            </w:r>
            <w:r w:rsidRPr="00462C13">
              <w:rPr>
                <w:rFonts w:cs="Tahoma"/>
                <w:szCs w:val="22"/>
              </w:rPr>
              <w:t xml:space="preserve">5 </w:t>
            </w:r>
            <w:r w:rsidRPr="00462C13">
              <w:rPr>
                <w:rFonts w:cs="Tahoma"/>
                <w:szCs w:val="22"/>
              </w:rPr>
              <w:br/>
              <w:t xml:space="preserve">2026: </w:t>
            </w:r>
            <w:r>
              <w:rPr>
                <w:rFonts w:cs="Tahoma"/>
                <w:szCs w:val="22"/>
              </w:rPr>
              <w:t>60</w:t>
            </w:r>
          </w:p>
        </w:tc>
        <w:tc>
          <w:tcPr>
            <w:tcW w:w="15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C3A3C38" w14:textId="324C1EB2" w:rsidR="006D3EDA" w:rsidRPr="00CE7843" w:rsidRDefault="00634D30" w:rsidP="005B79CC">
            <w:pPr>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8"/>
                <w:bdr w:val="none" w:sz="0" w:space="0" w:color="auto" w:frame="1"/>
              </w:rPr>
            </w:pPr>
            <w:r>
              <w:rPr>
                <w:rFonts w:cs="Tahoma"/>
                <w:bCs/>
                <w:szCs w:val="18"/>
              </w:rPr>
              <w:t>55</w:t>
            </w:r>
          </w:p>
        </w:tc>
        <w:tc>
          <w:tcPr>
            <w:tcW w:w="2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124FC8C" w14:textId="71314403" w:rsidR="006D3EDA" w:rsidRPr="00B36021" w:rsidRDefault="006361BD" w:rsidP="005B79CC">
            <w:pPr>
              <w:jc w:val="center"/>
              <w:cnfStyle w:val="000000010000" w:firstRow="0" w:lastRow="0" w:firstColumn="0" w:lastColumn="0" w:oddVBand="0" w:evenVBand="0" w:oddHBand="0" w:evenHBand="1" w:firstRowFirstColumn="0" w:firstRowLastColumn="0" w:lastRowFirstColumn="0" w:lastRowLastColumn="0"/>
              <w:rPr>
                <w:rFonts w:cs="Tahoma"/>
                <w:szCs w:val="16"/>
                <w:highlight w:val="yellow"/>
              </w:rPr>
            </w:pPr>
            <w:r w:rsidRPr="006361BD">
              <w:rPr>
                <w:rFonts w:cs="Tahoma"/>
                <w:szCs w:val="16"/>
              </w:rPr>
              <w:t>71,42</w:t>
            </w:r>
          </w:p>
        </w:tc>
        <w:tc>
          <w:tcPr>
            <w:tcW w:w="19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2F95649" w14:textId="0B250718" w:rsidR="006D3EDA" w:rsidRPr="00B36021" w:rsidRDefault="003B0B2E" w:rsidP="005B79CC">
            <w:pPr>
              <w:jc w:val="center"/>
              <w:cnfStyle w:val="000000010000" w:firstRow="0" w:lastRow="0" w:firstColumn="0" w:lastColumn="0" w:oddVBand="0" w:evenVBand="0" w:oddHBand="0" w:evenHBand="1" w:firstRowFirstColumn="0" w:firstRowLastColumn="0" w:lastRowFirstColumn="0" w:lastRowLastColumn="0"/>
              <w:rPr>
                <w:rFonts w:cs="Tahoma"/>
                <w:szCs w:val="16"/>
                <w:highlight w:val="yellow"/>
              </w:rPr>
            </w:pPr>
            <w:r w:rsidRPr="003B0B2E">
              <w:rPr>
                <w:rFonts w:cs="Tahoma"/>
                <w:szCs w:val="16"/>
                <w:lang w:val="es-CR"/>
              </w:rPr>
              <w:t>129,85</w:t>
            </w:r>
            <w:r w:rsidR="006D3EDA" w:rsidRPr="003B0B2E">
              <w:rPr>
                <w:rFonts w:cs="Tahoma"/>
                <w:szCs w:val="16"/>
              </w:rPr>
              <w:t>%</w:t>
            </w:r>
          </w:p>
        </w:tc>
        <w:tc>
          <w:tcPr>
            <w:tcW w:w="33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26FF6AD" w14:textId="77777777" w:rsidR="006D3EDA" w:rsidRPr="00256E44" w:rsidRDefault="006D3EDA" w:rsidP="005B79CC">
            <w:pPr>
              <w:cnfStyle w:val="000000010000" w:firstRow="0" w:lastRow="0" w:firstColumn="0" w:lastColumn="0" w:oddVBand="0" w:evenVBand="0" w:oddHBand="0" w:evenHBand="1" w:firstRowFirstColumn="0" w:firstRowLastColumn="0" w:lastRowFirstColumn="0" w:lastRowLastColumn="0"/>
              <w:rPr>
                <w:rFonts w:cs="Tahoma"/>
                <w:szCs w:val="16"/>
              </w:rPr>
            </w:pPr>
            <w:r w:rsidRPr="00256E44">
              <w:rPr>
                <w:rFonts w:cs="Tahoma"/>
                <w:szCs w:val="16"/>
              </w:rPr>
              <w:t>621.742.793,96</w:t>
            </w:r>
          </w:p>
        </w:tc>
        <w:tc>
          <w:tcPr>
            <w:tcW w:w="33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C57219E" w14:textId="77777777" w:rsidR="006D3EDA" w:rsidRPr="00256E44" w:rsidRDefault="006D3EDA" w:rsidP="005B79CC">
            <w:pPr>
              <w:cnfStyle w:val="000000010000" w:firstRow="0" w:lastRow="0" w:firstColumn="0" w:lastColumn="0" w:oddVBand="0" w:evenVBand="0" w:oddHBand="0" w:evenHBand="1" w:firstRowFirstColumn="0" w:firstRowLastColumn="0" w:lastRowFirstColumn="0" w:lastRowLastColumn="0"/>
              <w:rPr>
                <w:rFonts w:cs="Tahoma"/>
                <w:szCs w:val="16"/>
              </w:rPr>
            </w:pPr>
            <w:r w:rsidRPr="00256E44">
              <w:rPr>
                <w:rFonts w:cs="Tahoma"/>
                <w:szCs w:val="16"/>
              </w:rPr>
              <w:t>621.742.793,96</w:t>
            </w:r>
          </w:p>
        </w:tc>
        <w:tc>
          <w:tcPr>
            <w:tcW w:w="28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5B16AEA" w14:textId="77777777" w:rsidR="006D3EDA" w:rsidRPr="00462C13" w:rsidRDefault="006D3EDA" w:rsidP="005B79CC">
            <w:pPr>
              <w:jc w:val="center"/>
              <w:cnfStyle w:val="000000010000" w:firstRow="0" w:lastRow="0" w:firstColumn="0" w:lastColumn="0" w:oddVBand="0" w:evenVBand="0" w:oddHBand="0" w:evenHBand="1" w:firstRowFirstColumn="0" w:firstRowLastColumn="0" w:lastRowFirstColumn="0" w:lastRowLastColumn="0"/>
              <w:rPr>
                <w:rFonts w:cs="Tahoma"/>
                <w:szCs w:val="16"/>
              </w:rPr>
            </w:pPr>
            <w:r>
              <w:rPr>
                <w:rFonts w:cs="Tahoma"/>
                <w:szCs w:val="16"/>
              </w:rPr>
              <w:t>No aplica</w:t>
            </w:r>
          </w:p>
        </w:tc>
        <w:tc>
          <w:tcPr>
            <w:tcW w:w="26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25F558C" w14:textId="77777777" w:rsidR="006D3EDA" w:rsidRPr="00757854" w:rsidRDefault="006D3EDA" w:rsidP="005B79CC">
            <w:pPr>
              <w:pStyle w:val="Default"/>
              <w:jc w:val="center"/>
              <w:cnfStyle w:val="000000010000" w:firstRow="0" w:lastRow="0" w:firstColumn="0" w:lastColumn="0" w:oddVBand="0" w:evenVBand="0" w:oddHBand="0" w:evenHBand="1" w:firstRowFirstColumn="0" w:firstRowLastColumn="0" w:lastRowFirstColumn="0" w:lastRowLastColumn="0"/>
              <w:rPr>
                <w:rFonts w:ascii="Tahoma" w:hAnsi="Tahoma" w:cs="Tahoma"/>
                <w:sz w:val="16"/>
                <w:szCs w:val="16"/>
              </w:rPr>
            </w:pPr>
            <w:r w:rsidRPr="00757854">
              <w:rPr>
                <w:rFonts w:ascii="Tahoma" w:hAnsi="Tahoma" w:cs="Tahoma"/>
                <w:sz w:val="16"/>
                <w:szCs w:val="16"/>
              </w:rPr>
              <w:t xml:space="preserve">Director General de la Fuerza Pública. Ministerio de Seguridad Pública </w:t>
            </w:r>
          </w:p>
          <w:p w14:paraId="3E619ABA" w14:textId="77777777" w:rsidR="006D3EDA" w:rsidRPr="00757854" w:rsidRDefault="006D3EDA" w:rsidP="005B79CC">
            <w:pPr>
              <w:jc w:val="center"/>
              <w:cnfStyle w:val="000000010000" w:firstRow="0" w:lastRow="0" w:firstColumn="0" w:lastColumn="0" w:oddVBand="0" w:evenVBand="0" w:oddHBand="0" w:evenHBand="1" w:firstRowFirstColumn="0" w:firstRowLastColumn="0" w:lastRowFirstColumn="0" w:lastRowLastColumn="0"/>
              <w:rPr>
                <w:rFonts w:cs="Tahoma"/>
                <w:szCs w:val="16"/>
              </w:rPr>
            </w:pPr>
          </w:p>
        </w:tc>
        <w:tc>
          <w:tcPr>
            <w:tcW w:w="316" w:type="pct"/>
            <w:tcBorders>
              <w:top w:val="single" w:sz="12" w:space="0" w:color="FFFFFF"/>
              <w:left w:val="single" w:sz="12" w:space="0" w:color="FFFFFF"/>
              <w:bottom w:val="single" w:sz="12" w:space="0" w:color="FFFFFF"/>
              <w:right w:val="single" w:sz="12" w:space="0" w:color="FFFFFF"/>
            </w:tcBorders>
            <w:shd w:val="clear" w:color="auto" w:fill="92D050"/>
          </w:tcPr>
          <w:p w14:paraId="41799442" w14:textId="77777777" w:rsidR="006D3EDA" w:rsidRPr="00462C13" w:rsidRDefault="006D3EDA" w:rsidP="005B79CC">
            <w:pPr>
              <w:jc w:val="center"/>
              <w:cnfStyle w:val="000000010000" w:firstRow="0" w:lastRow="0" w:firstColumn="0" w:lastColumn="0" w:oddVBand="0" w:evenVBand="0" w:oddHBand="0" w:evenHBand="1" w:firstRowFirstColumn="0" w:firstRowLastColumn="0" w:lastRowFirstColumn="0" w:lastRowLastColumn="0"/>
              <w:rPr>
                <w:rFonts w:cs="Tahoma"/>
                <w:b/>
                <w:szCs w:val="16"/>
              </w:rPr>
            </w:pPr>
            <w:r w:rsidRPr="00C43FB6">
              <w:rPr>
                <w:rFonts w:cs="Tahoma"/>
                <w:b/>
                <w:szCs w:val="16"/>
              </w:rPr>
              <w:t>Cumplimiento alto</w:t>
            </w:r>
          </w:p>
        </w:tc>
        <w:tc>
          <w:tcPr>
            <w:tcW w:w="185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03974C7" w14:textId="77777777" w:rsidR="006D3EDA" w:rsidRDefault="006D3EDA" w:rsidP="005B79CC">
            <w:p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r w:rsidRPr="007B087D">
              <w:rPr>
                <w:rFonts w:cs="Tahoma"/>
                <w:b/>
                <w:szCs w:val="16"/>
              </w:rPr>
              <w:t xml:space="preserve">Logros </w:t>
            </w:r>
          </w:p>
          <w:p w14:paraId="26D50749" w14:textId="77777777" w:rsidR="00A44F54" w:rsidRPr="00A44F54" w:rsidRDefault="00A44F54" w:rsidP="00A44F54">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A44F54">
              <w:rPr>
                <w:rFonts w:cs="Tahoma"/>
                <w:szCs w:val="16"/>
              </w:rPr>
              <w:t xml:space="preserve">En cuanto a los logros – beneficios, </w:t>
            </w:r>
            <w:proofErr w:type="spellStart"/>
            <w:r w:rsidRPr="00A44F54">
              <w:rPr>
                <w:rFonts w:cs="Tahoma"/>
                <w:szCs w:val="16"/>
              </w:rPr>
              <w:t>ccomo</w:t>
            </w:r>
            <w:proofErr w:type="spellEnd"/>
            <w:r w:rsidRPr="00A44F54">
              <w:rPr>
                <w:rFonts w:cs="Tahoma"/>
                <w:szCs w:val="16"/>
              </w:rPr>
              <w:t xml:space="preserve"> parte del proceso de implementación y fortalecimiento del abordaje de factores de riesgo situacional y/o relacionados con estructuras criminales, la Dirección de Operaciones proyecta alcanzar una serie de beneficios que contribuyan en el Servicio de Seguridad Ciudadana a mediano plazo, y, aunque los resultados cuantitativos aún se encuentran en construcción, las acciones actuales buscan sentar las bases para intervenciones operativas más efectivas y sostenibles, que generen impactos positivos en el entorno y en la percepción de la Ciudadanía.</w:t>
            </w:r>
          </w:p>
          <w:p w14:paraId="55854C84" w14:textId="77777777" w:rsidR="00A44F54" w:rsidRPr="00A44F54" w:rsidRDefault="00A44F54" w:rsidP="00A44F54">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p>
          <w:p w14:paraId="75D54B5A" w14:textId="77777777" w:rsidR="00A44F54" w:rsidRPr="00A44F54" w:rsidRDefault="00A44F54" w:rsidP="00A44F54">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A44F54">
              <w:rPr>
                <w:rFonts w:cs="Tahoma"/>
                <w:szCs w:val="16"/>
              </w:rPr>
              <w:t>Dentro de los principales beneficios para la ciudadanía se tienen:</w:t>
            </w:r>
          </w:p>
          <w:p w14:paraId="12B8AF03" w14:textId="77777777" w:rsidR="00A44F54" w:rsidRPr="00A44F54" w:rsidRDefault="00A44F54" w:rsidP="00A44F54">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p>
          <w:p w14:paraId="521ECE8B" w14:textId="3B67689D" w:rsidR="00A44F54" w:rsidRPr="00A44F54" w:rsidRDefault="00A44F54" w:rsidP="00A44F54">
            <w:pPr>
              <w:pStyle w:val="Prrafodelista"/>
              <w:numPr>
                <w:ilvl w:val="0"/>
                <w:numId w:val="33"/>
              </w:num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A44F54">
              <w:rPr>
                <w:rFonts w:cs="Tahoma"/>
                <w:szCs w:val="16"/>
              </w:rPr>
              <w:t>Intervenciones policiales más oportunas y focalizadas:  La identificación y abordaje de factores de riesgo permite orientar el servicio policial hacia la prevención del delito, priorizando territorios y condiciones que representan mayor riesgo para la seguridad ciudadana.</w:t>
            </w:r>
          </w:p>
          <w:p w14:paraId="02E69D24" w14:textId="15A86DCE" w:rsidR="00A44F54" w:rsidRPr="00A44F54" w:rsidRDefault="00A44F54" w:rsidP="00A44F54">
            <w:pPr>
              <w:pStyle w:val="Prrafodelista"/>
              <w:numPr>
                <w:ilvl w:val="0"/>
                <w:numId w:val="33"/>
              </w:num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A44F54">
              <w:rPr>
                <w:rFonts w:cs="Tahoma"/>
                <w:szCs w:val="16"/>
              </w:rPr>
              <w:t>Reducción de condiciones que favorecen la ocurrencia del delito: El abordaje sistemático de factores de riesgo contribuye a disminuir entornos vulnerables que facilitan la actividad delictiva.</w:t>
            </w:r>
          </w:p>
          <w:p w14:paraId="64271E1B" w14:textId="3422C35E" w:rsidR="00A44F54" w:rsidRPr="00A44F54" w:rsidRDefault="00A44F54" w:rsidP="00A44F54">
            <w:pPr>
              <w:pStyle w:val="Prrafodelista"/>
              <w:numPr>
                <w:ilvl w:val="0"/>
                <w:numId w:val="33"/>
              </w:num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A44F54">
              <w:rPr>
                <w:rFonts w:cs="Tahoma"/>
                <w:szCs w:val="16"/>
              </w:rPr>
              <w:t>Mayor presencia policial planificada en los territorios: La ejecución de acciones mediante Órdenes de Ejecución fortalece una presencia policial organizada y basada en análisis, mejorando la percepción de seguridad.</w:t>
            </w:r>
          </w:p>
          <w:p w14:paraId="37745835" w14:textId="0D7B0DBA" w:rsidR="003B0B2E" w:rsidRPr="00A44F54" w:rsidRDefault="00A44F54" w:rsidP="00A44F54">
            <w:pPr>
              <w:pStyle w:val="Prrafodelista"/>
              <w:numPr>
                <w:ilvl w:val="0"/>
                <w:numId w:val="33"/>
              </w:num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r w:rsidRPr="00A44F54">
              <w:rPr>
                <w:rFonts w:cs="Tahoma"/>
                <w:szCs w:val="16"/>
              </w:rPr>
              <w:t>Mejora en la convivencia y seguridad comunitaria: Las intervenciones preventivas inciden positivamente en la convivencia social y en la protección de la población</w:t>
            </w:r>
          </w:p>
          <w:p w14:paraId="1F9B3B2F" w14:textId="77777777" w:rsidR="003B0B2E" w:rsidRDefault="003B0B2E" w:rsidP="005B79CC">
            <w:p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p>
          <w:p w14:paraId="54BAD4CD" w14:textId="77777777" w:rsidR="003B0B2E" w:rsidRDefault="003B0B2E" w:rsidP="005B79CC">
            <w:p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p>
          <w:p w14:paraId="1E829F01" w14:textId="77777777" w:rsidR="003B0B2E" w:rsidRDefault="003B0B2E" w:rsidP="003B0B2E">
            <w:p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r w:rsidRPr="007B087D">
              <w:rPr>
                <w:rFonts w:cs="Tahoma"/>
                <w:b/>
                <w:szCs w:val="16"/>
              </w:rPr>
              <w:t xml:space="preserve">Factores que contribuyeron </w:t>
            </w:r>
            <w:r>
              <w:rPr>
                <w:rFonts w:cs="Tahoma"/>
                <w:b/>
                <w:szCs w:val="16"/>
              </w:rPr>
              <w:t xml:space="preserve">al cumplimiento </w:t>
            </w:r>
            <w:r w:rsidRPr="007B087D">
              <w:rPr>
                <w:rFonts w:cs="Tahoma"/>
                <w:b/>
                <w:szCs w:val="16"/>
              </w:rPr>
              <w:t>de la meta superior a 125%</w:t>
            </w:r>
          </w:p>
          <w:p w14:paraId="72FE9338" w14:textId="77777777" w:rsidR="00A44F54" w:rsidRDefault="00A44F54" w:rsidP="003B0B2E">
            <w:p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p>
          <w:p w14:paraId="64F79BEC" w14:textId="77777777" w:rsidR="00A44F54" w:rsidRPr="00A44F54" w:rsidRDefault="00A44F54" w:rsidP="00A44F54">
            <w:pPr>
              <w:tabs>
                <w:tab w:val="left" w:pos="1650"/>
              </w:tabs>
              <w:cnfStyle w:val="000000010000" w:firstRow="0" w:lastRow="0" w:firstColumn="0" w:lastColumn="0" w:oddVBand="0" w:evenVBand="0" w:oddHBand="0" w:evenHBand="1" w:firstRowFirstColumn="0" w:firstRowLastColumn="0" w:lastRowFirstColumn="0" w:lastRowLastColumn="0"/>
              <w:rPr>
                <w:rFonts w:cs="Tahoma"/>
                <w:bCs/>
                <w:szCs w:val="16"/>
              </w:rPr>
            </w:pPr>
            <w:r w:rsidRPr="00A44F54">
              <w:rPr>
                <w:rFonts w:cs="Tahoma"/>
                <w:bCs/>
                <w:szCs w:val="16"/>
              </w:rPr>
              <w:t>Como resultado de las acciones ejecutadas, se logró el abordaje sistemático de factores de riesgo situacionales y/o asociados a estructuras criminales en sectores previamente identificados como prioritarios, lo que permitió focalizar el servicio policial en zonas con mayor incidencia delictiva. Este abordaje contribuyó a reducir condiciones que facilitan la comisión de delitos, mejorar la seguridad en espacios públicos específicos y fortalecer la presencia policial preventiva en puntos estratégicos del territorio nacional.</w:t>
            </w:r>
          </w:p>
          <w:p w14:paraId="0A2587C7" w14:textId="77777777" w:rsidR="00A44F54" w:rsidRPr="00A44F54" w:rsidRDefault="00A44F54" w:rsidP="00A44F54">
            <w:pPr>
              <w:tabs>
                <w:tab w:val="left" w:pos="1650"/>
              </w:tabs>
              <w:cnfStyle w:val="000000010000" w:firstRow="0" w:lastRow="0" w:firstColumn="0" w:lastColumn="0" w:oddVBand="0" w:evenVBand="0" w:oddHBand="0" w:evenHBand="1" w:firstRowFirstColumn="0" w:firstRowLastColumn="0" w:lastRowFirstColumn="0" w:lastRowLastColumn="0"/>
              <w:rPr>
                <w:rFonts w:cs="Tahoma"/>
                <w:bCs/>
                <w:szCs w:val="16"/>
              </w:rPr>
            </w:pPr>
          </w:p>
          <w:p w14:paraId="03CF1D96" w14:textId="4906633C" w:rsidR="00A44F54" w:rsidRPr="00A44F54" w:rsidRDefault="00A44F54" w:rsidP="00A44F54">
            <w:pPr>
              <w:tabs>
                <w:tab w:val="left" w:pos="1650"/>
              </w:tabs>
              <w:cnfStyle w:val="000000010000" w:firstRow="0" w:lastRow="0" w:firstColumn="0" w:lastColumn="0" w:oddVBand="0" w:evenVBand="0" w:oddHBand="0" w:evenHBand="1" w:firstRowFirstColumn="0" w:firstRowLastColumn="0" w:lastRowFirstColumn="0" w:lastRowLastColumn="0"/>
              <w:rPr>
                <w:rFonts w:cs="Tahoma"/>
                <w:bCs/>
                <w:szCs w:val="16"/>
              </w:rPr>
            </w:pPr>
            <w:r w:rsidRPr="00A44F54">
              <w:rPr>
                <w:rFonts w:cs="Tahoma"/>
                <w:bCs/>
                <w:szCs w:val="16"/>
              </w:rPr>
              <w:t>La articulación operativa y la coordinación interinstitucional favorecieron intervenciones más oportunas y efectivas, generando entornos más seguros para la convivencia ciudadana, así como un impacto positivo en la percepción de seguridad y el bienestar de las comunidades intervenidas</w:t>
            </w:r>
            <w:r>
              <w:rPr>
                <w:rFonts w:cs="Tahoma"/>
                <w:bCs/>
                <w:szCs w:val="16"/>
              </w:rPr>
              <w:t>.</w:t>
            </w:r>
          </w:p>
          <w:p w14:paraId="2E02423B" w14:textId="01A948FF" w:rsidR="003B0B2E" w:rsidRPr="007B087D" w:rsidRDefault="003B0B2E" w:rsidP="005B79CC">
            <w:p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p>
        </w:tc>
      </w:tr>
    </w:tbl>
    <w:p w14:paraId="2E210342" w14:textId="1E699350" w:rsidR="006D3EDA" w:rsidRPr="00462C13" w:rsidRDefault="006D3EDA" w:rsidP="006D3EDA">
      <w:pPr>
        <w:pStyle w:val="Default"/>
        <w:rPr>
          <w:rFonts w:ascii="Tahoma" w:eastAsia="Arial Narrow" w:hAnsi="Tahoma" w:cs="Tahoma"/>
          <w:sz w:val="16"/>
        </w:rPr>
      </w:pPr>
      <w:r w:rsidRPr="00462C13">
        <w:rPr>
          <w:rFonts w:ascii="Tahoma" w:eastAsia="Arial Narrow" w:hAnsi="Tahoma" w:cs="Tahoma"/>
          <w:sz w:val="16"/>
        </w:rPr>
        <w:t xml:space="preserve"> Fuente: Dirección General de la Fuerza Pública, Ministerio de Seguridad Pública, 202</w:t>
      </w:r>
      <w:r w:rsidR="00256E44">
        <w:rPr>
          <w:rFonts w:ascii="Tahoma" w:eastAsia="Arial Narrow" w:hAnsi="Tahoma" w:cs="Tahoma"/>
          <w:sz w:val="16"/>
        </w:rPr>
        <w:t>6</w:t>
      </w:r>
      <w:r w:rsidRPr="00462C13">
        <w:rPr>
          <w:rFonts w:ascii="Tahoma" w:eastAsia="Arial Narrow" w:hAnsi="Tahoma" w:cs="Tahoma"/>
          <w:sz w:val="16"/>
        </w:rPr>
        <w:t>.</w:t>
      </w:r>
    </w:p>
    <w:p w14:paraId="4386B3C6" w14:textId="77777777" w:rsidR="006D3EDA" w:rsidRDefault="006D3EDA" w:rsidP="006D3EDA">
      <w:pPr>
        <w:spacing w:after="0" w:line="240" w:lineRule="auto"/>
        <w:rPr>
          <w:rFonts w:cs="Tahoma"/>
          <w:b/>
          <w:sz w:val="24"/>
          <w:szCs w:val="20"/>
        </w:rPr>
      </w:pPr>
    </w:p>
    <w:p w14:paraId="03DF8244" w14:textId="77777777" w:rsidR="006D3EDA" w:rsidRDefault="006D3EDA" w:rsidP="006D3EDA">
      <w:pPr>
        <w:spacing w:after="0" w:line="240" w:lineRule="auto"/>
        <w:rPr>
          <w:rFonts w:cs="Tahoma"/>
          <w:b/>
          <w:sz w:val="24"/>
          <w:szCs w:val="20"/>
        </w:rPr>
      </w:pPr>
    </w:p>
    <w:p w14:paraId="0F586550" w14:textId="77777777" w:rsidR="008B63F0" w:rsidRDefault="008B63F0" w:rsidP="006D3EDA">
      <w:pPr>
        <w:spacing w:after="0" w:line="240" w:lineRule="auto"/>
        <w:rPr>
          <w:rFonts w:cs="Tahoma"/>
          <w:b/>
          <w:sz w:val="24"/>
          <w:szCs w:val="20"/>
        </w:rPr>
      </w:pPr>
    </w:p>
    <w:p w14:paraId="495F63B7" w14:textId="77777777" w:rsidR="008B63F0" w:rsidRDefault="008B63F0" w:rsidP="006D3EDA">
      <w:pPr>
        <w:spacing w:after="0" w:line="240" w:lineRule="auto"/>
        <w:rPr>
          <w:rFonts w:cs="Tahoma"/>
          <w:b/>
          <w:sz w:val="24"/>
          <w:szCs w:val="20"/>
        </w:rPr>
      </w:pPr>
    </w:p>
    <w:p w14:paraId="3C102078" w14:textId="77777777" w:rsidR="008B63F0" w:rsidRDefault="008B63F0" w:rsidP="006D3EDA">
      <w:pPr>
        <w:spacing w:after="0" w:line="240" w:lineRule="auto"/>
        <w:rPr>
          <w:rFonts w:cs="Tahoma"/>
          <w:b/>
          <w:sz w:val="24"/>
          <w:szCs w:val="20"/>
        </w:rPr>
      </w:pPr>
    </w:p>
    <w:p w14:paraId="060DC370" w14:textId="77777777" w:rsidR="008B63F0" w:rsidRDefault="008B63F0" w:rsidP="006D3EDA">
      <w:pPr>
        <w:spacing w:after="0" w:line="240" w:lineRule="auto"/>
        <w:rPr>
          <w:rFonts w:cs="Tahoma"/>
          <w:b/>
          <w:sz w:val="24"/>
          <w:szCs w:val="20"/>
        </w:rPr>
      </w:pPr>
    </w:p>
    <w:p w14:paraId="77CEC8B9" w14:textId="77777777" w:rsidR="008B63F0" w:rsidRDefault="008B63F0" w:rsidP="006D3EDA">
      <w:pPr>
        <w:spacing w:after="0" w:line="240" w:lineRule="auto"/>
        <w:rPr>
          <w:rFonts w:cs="Tahoma"/>
          <w:b/>
          <w:sz w:val="24"/>
          <w:szCs w:val="20"/>
        </w:rPr>
      </w:pPr>
    </w:p>
    <w:p w14:paraId="580638E0" w14:textId="77777777" w:rsidR="008B63F0" w:rsidRDefault="008B63F0" w:rsidP="006D3EDA">
      <w:pPr>
        <w:spacing w:after="0" w:line="240" w:lineRule="auto"/>
        <w:rPr>
          <w:rFonts w:cs="Tahoma"/>
          <w:b/>
          <w:sz w:val="24"/>
          <w:szCs w:val="20"/>
        </w:rPr>
      </w:pPr>
    </w:p>
    <w:p w14:paraId="6F271788" w14:textId="77777777" w:rsidR="008B63F0" w:rsidRDefault="008B63F0" w:rsidP="006D3EDA">
      <w:pPr>
        <w:spacing w:after="0" w:line="240" w:lineRule="auto"/>
        <w:rPr>
          <w:rFonts w:cs="Tahoma"/>
          <w:b/>
          <w:sz w:val="24"/>
          <w:szCs w:val="20"/>
        </w:rPr>
      </w:pPr>
    </w:p>
    <w:p w14:paraId="6F8586A4" w14:textId="77777777" w:rsidR="008B63F0" w:rsidRDefault="008B63F0" w:rsidP="006D3EDA">
      <w:pPr>
        <w:spacing w:after="0" w:line="240" w:lineRule="auto"/>
        <w:rPr>
          <w:rFonts w:cs="Tahoma"/>
          <w:b/>
          <w:sz w:val="24"/>
          <w:szCs w:val="20"/>
        </w:rPr>
      </w:pPr>
    </w:p>
    <w:p w14:paraId="4EED8E50" w14:textId="77777777" w:rsidR="008B63F0" w:rsidRDefault="008B63F0" w:rsidP="006D3EDA">
      <w:pPr>
        <w:spacing w:after="0" w:line="240" w:lineRule="auto"/>
        <w:rPr>
          <w:rFonts w:cs="Tahoma"/>
          <w:b/>
          <w:sz w:val="24"/>
          <w:szCs w:val="20"/>
        </w:rPr>
      </w:pPr>
    </w:p>
    <w:p w14:paraId="4BDE92C7" w14:textId="77777777" w:rsidR="008B63F0" w:rsidRDefault="008B63F0" w:rsidP="006D3EDA">
      <w:pPr>
        <w:spacing w:after="0" w:line="240" w:lineRule="auto"/>
        <w:rPr>
          <w:rFonts w:cs="Tahoma"/>
          <w:b/>
          <w:sz w:val="24"/>
          <w:szCs w:val="20"/>
        </w:rPr>
      </w:pPr>
    </w:p>
    <w:p w14:paraId="156FEFC4" w14:textId="77777777" w:rsidR="008B63F0" w:rsidRDefault="008B63F0" w:rsidP="006D3EDA">
      <w:pPr>
        <w:spacing w:after="0" w:line="240" w:lineRule="auto"/>
        <w:rPr>
          <w:rFonts w:cs="Tahoma"/>
          <w:b/>
          <w:sz w:val="24"/>
          <w:szCs w:val="20"/>
        </w:rPr>
      </w:pPr>
    </w:p>
    <w:p w14:paraId="3095229A" w14:textId="77777777" w:rsidR="006D3EDA" w:rsidRDefault="006D3EDA" w:rsidP="006D3EDA">
      <w:pPr>
        <w:pStyle w:val="Ttulo2"/>
        <w:rPr>
          <w:rFonts w:cs="Tahoma"/>
        </w:rPr>
      </w:pPr>
      <w:bookmarkStart w:id="44" w:name="_Toc189055700"/>
      <w:bookmarkStart w:id="45" w:name="_Toc220401626"/>
      <w:r w:rsidRPr="00462C13">
        <w:rPr>
          <w:rFonts w:cs="Tahoma"/>
        </w:rPr>
        <w:lastRenderedPageBreak/>
        <w:t>Intervención Pública 7: Lucha contra la criminalidad organizada</w:t>
      </w:r>
      <w:bookmarkEnd w:id="44"/>
      <w:bookmarkEnd w:id="45"/>
    </w:p>
    <w:tbl>
      <w:tblPr>
        <w:tblStyle w:val="Tablaclsica3"/>
        <w:tblW w:w="5000" w:type="pct"/>
        <w:jc w:val="center"/>
        <w:tblLook w:val="04A0" w:firstRow="1" w:lastRow="0" w:firstColumn="1" w:lastColumn="0" w:noHBand="0" w:noVBand="1"/>
      </w:tblPr>
      <w:tblGrid>
        <w:gridCol w:w="1262"/>
        <w:gridCol w:w="1788"/>
        <w:gridCol w:w="1083"/>
        <w:gridCol w:w="675"/>
        <w:gridCol w:w="924"/>
        <w:gridCol w:w="858"/>
        <w:gridCol w:w="1458"/>
        <w:gridCol w:w="1458"/>
        <w:gridCol w:w="1560"/>
        <w:gridCol w:w="1126"/>
        <w:gridCol w:w="1339"/>
        <w:gridCol w:w="8083"/>
      </w:tblGrid>
      <w:tr w:rsidR="006D3EDA" w:rsidRPr="00462C13" w14:paraId="4696A3ED" w14:textId="77777777" w:rsidTr="008A31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92" w:type="pct"/>
            <w:vMerge w:val="restart"/>
            <w:tcBorders>
              <w:top w:val="single" w:sz="12" w:space="0" w:color="FFFFFF"/>
              <w:left w:val="single" w:sz="12" w:space="0" w:color="FFFFFF"/>
              <w:bottom w:val="single" w:sz="12" w:space="0" w:color="FFFFFF"/>
              <w:right w:val="single" w:sz="12" w:space="0" w:color="FFFFFF"/>
            </w:tcBorders>
            <w:shd w:val="clear" w:color="auto" w:fill="003A70"/>
          </w:tcPr>
          <w:p w14:paraId="66BD9C8A" w14:textId="77777777" w:rsidR="006D3EDA" w:rsidRPr="00462C13" w:rsidRDefault="006D3EDA" w:rsidP="005B79CC">
            <w:pPr>
              <w:rPr>
                <w:rFonts w:eastAsia="Arial Unicode MS" w:cs="Tahoma"/>
                <w:szCs w:val="16"/>
                <w:bdr w:val="none" w:sz="0" w:space="0" w:color="auto" w:frame="1"/>
              </w:rPr>
            </w:pPr>
            <w:r w:rsidRPr="00462C13">
              <w:rPr>
                <w:rFonts w:eastAsia="Arial Unicode MS" w:cs="Tahoma"/>
                <w:szCs w:val="16"/>
                <w:bdr w:val="none" w:sz="0" w:space="0" w:color="auto" w:frame="1"/>
              </w:rPr>
              <w:t xml:space="preserve">Objetivo </w:t>
            </w:r>
          </w:p>
        </w:tc>
        <w:tc>
          <w:tcPr>
            <w:tcW w:w="665" w:type="pct"/>
            <w:gridSpan w:val="2"/>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132B3E77"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xml:space="preserve">Programación </w:t>
            </w:r>
          </w:p>
          <w:p w14:paraId="7D081705"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PNDIP 2023-2026</w:t>
            </w:r>
          </w:p>
        </w:tc>
        <w:tc>
          <w:tcPr>
            <w:tcW w:w="4043" w:type="pct"/>
            <w:gridSpan w:val="9"/>
            <w:tcBorders>
              <w:top w:val="single" w:sz="12" w:space="0" w:color="FFFFFF"/>
              <w:left w:val="single" w:sz="12" w:space="0" w:color="FFFFFF"/>
              <w:bottom w:val="single" w:sz="12" w:space="0" w:color="FFFFFF"/>
              <w:right w:val="single" w:sz="12" w:space="0" w:color="FFFFFF"/>
            </w:tcBorders>
            <w:shd w:val="clear" w:color="auto" w:fill="003A70"/>
          </w:tcPr>
          <w:p w14:paraId="3A681912" w14:textId="11AC8998"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224BD7">
              <w:rPr>
                <w:rFonts w:eastAsia="Arial Unicode MS" w:cs="Tahoma"/>
                <w:szCs w:val="16"/>
                <w:bdr w:val="none" w:sz="0" w:space="0" w:color="auto" w:frame="1"/>
              </w:rPr>
              <w:t xml:space="preserve">Seguimiento </w:t>
            </w:r>
            <w:r>
              <w:rPr>
                <w:rFonts w:eastAsia="Arial Unicode MS" w:cs="Tahoma"/>
                <w:szCs w:val="16"/>
                <w:bdr w:val="none" w:sz="0" w:space="0" w:color="auto" w:frame="1"/>
              </w:rPr>
              <w:t xml:space="preserve">Anual </w:t>
            </w:r>
            <w:r w:rsidRPr="00224BD7">
              <w:rPr>
                <w:rFonts w:eastAsia="Arial Unicode MS" w:cs="Tahoma"/>
                <w:szCs w:val="16"/>
                <w:bdr w:val="none" w:sz="0" w:space="0" w:color="auto" w:frame="1"/>
              </w:rPr>
              <w:t>202</w:t>
            </w:r>
            <w:r w:rsidR="004B4F07">
              <w:rPr>
                <w:rFonts w:eastAsia="Arial Unicode MS" w:cs="Tahoma"/>
                <w:szCs w:val="16"/>
                <w:bdr w:val="none" w:sz="0" w:space="0" w:color="auto" w:frame="1"/>
              </w:rPr>
              <w:t>5</w:t>
            </w:r>
          </w:p>
        </w:tc>
      </w:tr>
      <w:tr w:rsidR="008B63F0" w:rsidRPr="00462C13" w14:paraId="0591349E" w14:textId="77777777" w:rsidTr="008A31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92" w:type="pct"/>
            <w:vMerge/>
            <w:tcBorders>
              <w:top w:val="single" w:sz="12" w:space="0" w:color="FFFFFF"/>
              <w:left w:val="single" w:sz="12" w:space="0" w:color="FFFFFF"/>
              <w:bottom w:val="single" w:sz="12" w:space="0" w:color="FFFFFF"/>
              <w:right w:val="single" w:sz="12" w:space="0" w:color="FFFFFF"/>
            </w:tcBorders>
            <w:shd w:val="clear" w:color="auto" w:fill="003A70"/>
            <w:hideMark/>
          </w:tcPr>
          <w:p w14:paraId="1C1B9384" w14:textId="77777777" w:rsidR="006D3EDA" w:rsidRPr="00462C13" w:rsidRDefault="006D3EDA" w:rsidP="005B79CC">
            <w:pPr>
              <w:rPr>
                <w:rFonts w:eastAsia="Arial Unicode MS" w:cs="Tahoma"/>
                <w:szCs w:val="16"/>
                <w:bdr w:val="none" w:sz="0" w:space="0" w:color="auto" w:frame="1"/>
              </w:rPr>
            </w:pPr>
          </w:p>
        </w:tc>
        <w:tc>
          <w:tcPr>
            <w:tcW w:w="665" w:type="pct"/>
            <w:gridSpan w:val="2"/>
            <w:vMerge/>
            <w:tcBorders>
              <w:top w:val="single" w:sz="12" w:space="0" w:color="FFFFFF"/>
              <w:left w:val="single" w:sz="12" w:space="0" w:color="FFFFFF"/>
              <w:bottom w:val="single" w:sz="12" w:space="0" w:color="FFFFFF"/>
              <w:right w:val="single" w:sz="12" w:space="0" w:color="FFFFFF"/>
            </w:tcBorders>
            <w:shd w:val="clear" w:color="auto" w:fill="003A70"/>
            <w:hideMark/>
          </w:tcPr>
          <w:p w14:paraId="68F6EF5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56" w:type="pct"/>
            <w:vMerge w:val="restart"/>
            <w:tcBorders>
              <w:top w:val="single" w:sz="12" w:space="0" w:color="FFFFFF"/>
              <w:left w:val="single" w:sz="12" w:space="0" w:color="FFFFFF"/>
              <w:right w:val="single" w:sz="12" w:space="0" w:color="FFFFFF"/>
            </w:tcBorders>
            <w:shd w:val="clear" w:color="auto" w:fill="003A70"/>
            <w:hideMark/>
          </w:tcPr>
          <w:p w14:paraId="6447D16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Meta Anual</w:t>
            </w:r>
          </w:p>
        </w:tc>
        <w:tc>
          <w:tcPr>
            <w:tcW w:w="214"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3238B07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Absoluto</w:t>
            </w:r>
          </w:p>
        </w:tc>
        <w:tc>
          <w:tcPr>
            <w:tcW w:w="198" w:type="pct"/>
            <w:vMerge w:val="restart"/>
            <w:tcBorders>
              <w:top w:val="single" w:sz="12" w:space="0" w:color="FFFFFF"/>
              <w:left w:val="single" w:sz="12" w:space="0" w:color="FFFFFF"/>
              <w:right w:val="single" w:sz="12" w:space="0" w:color="FFFFFF"/>
            </w:tcBorders>
            <w:shd w:val="clear" w:color="auto" w:fill="003A70"/>
            <w:hideMark/>
          </w:tcPr>
          <w:p w14:paraId="43D57AA0"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de avance</w:t>
            </w:r>
          </w:p>
        </w:tc>
        <w:tc>
          <w:tcPr>
            <w:tcW w:w="1035" w:type="pct"/>
            <w:gridSpan w:val="3"/>
            <w:tcBorders>
              <w:top w:val="single" w:sz="12" w:space="0" w:color="FFFFFF"/>
              <w:left w:val="single" w:sz="12" w:space="0" w:color="FFFFFF"/>
              <w:bottom w:val="single" w:sz="4" w:space="0" w:color="auto"/>
              <w:right w:val="single" w:sz="12" w:space="0" w:color="FFFFFF"/>
            </w:tcBorders>
            <w:shd w:val="clear" w:color="auto" w:fill="003A70"/>
          </w:tcPr>
          <w:p w14:paraId="6FCE1FF8" w14:textId="48B22865"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Presupuesto 202</w:t>
            </w:r>
            <w:r w:rsidR="004B4F07">
              <w:rPr>
                <w:rFonts w:eastAsia="Arial Unicode MS" w:cs="Tahoma"/>
                <w:szCs w:val="16"/>
                <w:bdr w:val="none" w:sz="0" w:space="0" w:color="auto" w:frame="1"/>
              </w:rPr>
              <w:t>5</w:t>
            </w:r>
          </w:p>
        </w:tc>
        <w:tc>
          <w:tcPr>
            <w:tcW w:w="260" w:type="pct"/>
            <w:vMerge w:val="restart"/>
            <w:tcBorders>
              <w:top w:val="single" w:sz="12" w:space="0" w:color="FFFFFF"/>
              <w:left w:val="single" w:sz="12" w:space="0" w:color="FFFFFF"/>
              <w:right w:val="single" w:sz="12" w:space="0" w:color="FFFFFF"/>
            </w:tcBorders>
            <w:shd w:val="clear" w:color="auto" w:fill="003A70"/>
          </w:tcPr>
          <w:p w14:paraId="51AD50BF"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Responsable</w:t>
            </w:r>
          </w:p>
        </w:tc>
        <w:tc>
          <w:tcPr>
            <w:tcW w:w="310"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00FF9FB5"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BF3111">
              <w:rPr>
                <w:rFonts w:eastAsia="Arial Unicode MS" w:cs="Tahoma"/>
                <w:szCs w:val="16"/>
                <w:bdr w:val="none" w:sz="0" w:space="0" w:color="auto" w:frame="1"/>
              </w:rPr>
              <w:t>Clasificación de cumplimiento</w:t>
            </w:r>
          </w:p>
        </w:tc>
        <w:tc>
          <w:tcPr>
            <w:tcW w:w="1870"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699EA0F1"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vertAlign w:val="superscript"/>
              </w:rPr>
            </w:pPr>
            <w:r w:rsidRPr="007B087D">
              <w:rPr>
                <w:rFonts w:eastAsia="Arial Unicode MS" w:cs="Tahoma"/>
                <w:sz w:val="24"/>
                <w:szCs w:val="16"/>
                <w:bdr w:val="none" w:sz="0" w:space="0" w:color="auto" w:frame="1"/>
              </w:rPr>
              <w:t xml:space="preserve">Logros </w:t>
            </w:r>
          </w:p>
        </w:tc>
      </w:tr>
      <w:tr w:rsidR="008B63F0" w:rsidRPr="00462C13" w14:paraId="2000E9CC" w14:textId="77777777" w:rsidTr="008A31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92" w:type="pct"/>
            <w:vMerge/>
            <w:tcBorders>
              <w:top w:val="single" w:sz="12" w:space="0" w:color="FFFFFF"/>
              <w:left w:val="single" w:sz="12" w:space="0" w:color="FFFFFF"/>
              <w:bottom w:val="single" w:sz="12" w:space="0" w:color="FFFFFF"/>
              <w:right w:val="single" w:sz="12" w:space="0" w:color="FFFFFF"/>
            </w:tcBorders>
            <w:hideMark/>
          </w:tcPr>
          <w:p w14:paraId="2E9C4207" w14:textId="77777777" w:rsidR="006D3EDA" w:rsidRPr="00462C13" w:rsidRDefault="006D3EDA" w:rsidP="005B79CC">
            <w:pPr>
              <w:rPr>
                <w:rFonts w:eastAsia="Arial Unicode MS" w:cs="Tahoma"/>
                <w:szCs w:val="16"/>
                <w:bdr w:val="none" w:sz="0" w:space="0" w:color="auto" w:frame="1"/>
              </w:rPr>
            </w:pPr>
          </w:p>
        </w:tc>
        <w:tc>
          <w:tcPr>
            <w:tcW w:w="414" w:type="pct"/>
            <w:tcBorders>
              <w:top w:val="single" w:sz="12" w:space="0" w:color="FFFFFF"/>
              <w:left w:val="single" w:sz="12" w:space="0" w:color="FFFFFF"/>
              <w:bottom w:val="single" w:sz="12" w:space="0" w:color="FFFFFF"/>
              <w:right w:val="single" w:sz="12" w:space="0" w:color="FFFFFF"/>
            </w:tcBorders>
            <w:shd w:val="clear" w:color="auto" w:fill="003A70"/>
            <w:hideMark/>
          </w:tcPr>
          <w:p w14:paraId="3B9DDBF6"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Indicadores</w:t>
            </w:r>
          </w:p>
        </w:tc>
        <w:tc>
          <w:tcPr>
            <w:tcW w:w="251" w:type="pct"/>
            <w:tcBorders>
              <w:top w:val="single" w:sz="12" w:space="0" w:color="FFFFFF"/>
              <w:left w:val="single" w:sz="12" w:space="0" w:color="FFFFFF"/>
              <w:bottom w:val="single" w:sz="12" w:space="0" w:color="FFFFFF"/>
              <w:right w:val="single" w:sz="12" w:space="0" w:color="FFFFFF"/>
            </w:tcBorders>
            <w:shd w:val="clear" w:color="auto" w:fill="003A70"/>
            <w:hideMark/>
          </w:tcPr>
          <w:p w14:paraId="320C48E8"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 xml:space="preserve">Metas Periodo </w:t>
            </w:r>
          </w:p>
        </w:tc>
        <w:tc>
          <w:tcPr>
            <w:tcW w:w="156" w:type="pct"/>
            <w:vMerge/>
            <w:tcBorders>
              <w:left w:val="single" w:sz="12" w:space="0" w:color="FFFFFF"/>
              <w:bottom w:val="single" w:sz="12" w:space="0" w:color="FFFFFF"/>
              <w:right w:val="single" w:sz="12" w:space="0" w:color="FFFFFF"/>
            </w:tcBorders>
            <w:hideMark/>
          </w:tcPr>
          <w:p w14:paraId="1C55AC46"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14" w:type="pct"/>
            <w:vMerge/>
            <w:tcBorders>
              <w:top w:val="single" w:sz="12" w:space="0" w:color="FFFFFF"/>
              <w:left w:val="single" w:sz="12" w:space="0" w:color="FFFFFF"/>
              <w:bottom w:val="single" w:sz="12" w:space="0" w:color="FFFFFF"/>
              <w:right w:val="single" w:sz="12" w:space="0" w:color="FFFFFF"/>
            </w:tcBorders>
            <w:shd w:val="clear" w:color="auto" w:fill="003366"/>
            <w:hideMark/>
          </w:tcPr>
          <w:p w14:paraId="1DBEB18E"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98" w:type="pct"/>
            <w:vMerge/>
            <w:tcBorders>
              <w:left w:val="single" w:sz="12" w:space="0" w:color="FFFFFF"/>
              <w:bottom w:val="single" w:sz="12" w:space="0" w:color="FFFFFF"/>
              <w:right w:val="single" w:sz="12" w:space="0" w:color="FFFFFF"/>
            </w:tcBorders>
            <w:hideMark/>
          </w:tcPr>
          <w:p w14:paraId="37AE49F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37" w:type="pct"/>
            <w:tcBorders>
              <w:left w:val="single" w:sz="12" w:space="0" w:color="FFFFFF"/>
              <w:bottom w:val="single" w:sz="12" w:space="0" w:color="FFFFFF"/>
              <w:right w:val="single" w:sz="12" w:space="0" w:color="FFFFFF"/>
            </w:tcBorders>
            <w:shd w:val="clear" w:color="auto" w:fill="003A70"/>
          </w:tcPr>
          <w:p w14:paraId="34573C41"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rPr>
            </w:pPr>
            <w:r w:rsidRPr="00650798">
              <w:rPr>
                <w:rFonts w:ascii="Arial" w:eastAsia="Arial Unicode MS" w:hAnsi="Arial" w:cs="Arial"/>
                <w:color w:val="auto"/>
                <w:szCs w:val="12"/>
                <w:bdr w:val="none" w:sz="0" w:space="0" w:color="auto" w:frame="1"/>
                <w:lang w:eastAsia="en-US"/>
              </w:rPr>
              <w:t>Presupuesto programado</w:t>
            </w:r>
          </w:p>
        </w:tc>
        <w:tc>
          <w:tcPr>
            <w:tcW w:w="337" w:type="pct"/>
            <w:tcBorders>
              <w:left w:val="single" w:sz="12" w:space="0" w:color="FFFFFF"/>
              <w:bottom w:val="single" w:sz="12" w:space="0" w:color="FFFFFF"/>
              <w:right w:val="single" w:sz="12" w:space="0" w:color="FFFFFF"/>
            </w:tcBorders>
            <w:shd w:val="clear" w:color="auto" w:fill="003A70"/>
          </w:tcPr>
          <w:p w14:paraId="11AF48B5"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Monto ejecutado</w:t>
            </w:r>
          </w:p>
        </w:tc>
        <w:tc>
          <w:tcPr>
            <w:tcW w:w="361" w:type="pct"/>
            <w:tcBorders>
              <w:left w:val="single" w:sz="12" w:space="0" w:color="FFFFFF"/>
              <w:bottom w:val="single" w:sz="12" w:space="0" w:color="FFFFFF"/>
              <w:right w:val="single" w:sz="12" w:space="0" w:color="FFFFFF"/>
            </w:tcBorders>
            <w:shd w:val="clear" w:color="auto" w:fill="003A70"/>
          </w:tcPr>
          <w:p w14:paraId="0C84F8F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Información cualitativa</w:t>
            </w:r>
          </w:p>
        </w:tc>
        <w:tc>
          <w:tcPr>
            <w:tcW w:w="260" w:type="pct"/>
            <w:vMerge/>
            <w:tcBorders>
              <w:left w:val="single" w:sz="12" w:space="0" w:color="FFFFFF"/>
              <w:bottom w:val="single" w:sz="12" w:space="0" w:color="FFFFFF"/>
              <w:right w:val="single" w:sz="12" w:space="0" w:color="FFFFFF"/>
            </w:tcBorders>
          </w:tcPr>
          <w:p w14:paraId="64509BFC"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10" w:type="pct"/>
            <w:vMerge/>
            <w:tcBorders>
              <w:top w:val="single" w:sz="12" w:space="0" w:color="FFFFFF"/>
              <w:left w:val="single" w:sz="12" w:space="0" w:color="FFFFFF"/>
              <w:bottom w:val="single" w:sz="12" w:space="0" w:color="FFFFFF"/>
              <w:right w:val="single" w:sz="12" w:space="0" w:color="FFFFFF"/>
            </w:tcBorders>
            <w:hideMark/>
          </w:tcPr>
          <w:p w14:paraId="037CF47B"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870" w:type="pct"/>
            <w:vMerge/>
            <w:tcBorders>
              <w:top w:val="single" w:sz="12" w:space="0" w:color="FFFFFF"/>
              <w:left w:val="single" w:sz="12" w:space="0" w:color="FFFFFF"/>
              <w:bottom w:val="single" w:sz="12" w:space="0" w:color="FFFFFF"/>
              <w:right w:val="single" w:sz="12" w:space="0" w:color="FFFFFF"/>
            </w:tcBorders>
            <w:hideMark/>
          </w:tcPr>
          <w:p w14:paraId="6BBBD5AB"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vertAlign w:val="superscript"/>
              </w:rPr>
            </w:pPr>
          </w:p>
        </w:tc>
      </w:tr>
      <w:tr w:rsidR="008B63F0" w:rsidRPr="00462C13" w14:paraId="34C2D95F" w14:textId="77777777" w:rsidTr="008A31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vMerge w:val="restart"/>
            <w:tcBorders>
              <w:top w:val="single" w:sz="12" w:space="0" w:color="FFFFFF"/>
              <w:left w:val="single" w:sz="12" w:space="0" w:color="FFFFFF"/>
              <w:right w:val="single" w:sz="12" w:space="0" w:color="FFFFFF"/>
            </w:tcBorders>
            <w:shd w:val="clear" w:color="auto" w:fill="F2F2F2" w:themeFill="background1" w:themeFillShade="F2"/>
          </w:tcPr>
          <w:p w14:paraId="5E160782" w14:textId="77777777" w:rsidR="006D3EDA" w:rsidRPr="00462C13" w:rsidRDefault="006D3EDA" w:rsidP="005B79CC">
            <w:pPr>
              <w:jc w:val="both"/>
              <w:rPr>
                <w:rFonts w:cs="Tahoma"/>
                <w:szCs w:val="16"/>
              </w:rPr>
            </w:pPr>
            <w:r w:rsidRPr="00462C13">
              <w:rPr>
                <w:rFonts w:cs="Tahoma"/>
                <w:b/>
                <w:bCs w:val="0"/>
                <w:szCs w:val="22"/>
              </w:rPr>
              <w:t xml:space="preserve">7.1 </w:t>
            </w:r>
            <w:r w:rsidRPr="00462C13">
              <w:rPr>
                <w:rFonts w:cs="Tahoma"/>
                <w:szCs w:val="22"/>
              </w:rPr>
              <w:t>Combatir la criminalidad organizada a través de la desarticulación de sus estructuras, coadyuvando así a la mejora de la seguridad del país.</w:t>
            </w:r>
          </w:p>
        </w:tc>
        <w:tc>
          <w:tcPr>
            <w:tcW w:w="4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D502472" w14:textId="7390BEC6" w:rsidR="006D3EDA" w:rsidRPr="00462C13" w:rsidRDefault="006D3EDA" w:rsidP="00F810A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r w:rsidRPr="001C2E37">
              <w:rPr>
                <w:rFonts w:cs="Tahoma"/>
                <w:b/>
                <w:bCs/>
                <w:szCs w:val="16"/>
              </w:rPr>
              <w:t xml:space="preserve">A.7.1.1 </w:t>
            </w:r>
            <w:r w:rsidRPr="001C2E37">
              <w:rPr>
                <w:rFonts w:cs="Tahoma"/>
                <w:szCs w:val="16"/>
              </w:rPr>
              <w:t>Cantidad de organizaciones criminales dedicadas al tráfico internacional de drogas ilícitas que han sido debilitadas, destruidas, desestabilizadas o eliminadas de forma total o parcial mediante las investigaciones y operaciones policiales desarrolladas por la Policía de Control de Drogas (PCD).</w:t>
            </w:r>
            <w:r w:rsidRPr="001C2E37">
              <w:rPr>
                <w:rFonts w:cs="Tahoma"/>
                <w:szCs w:val="16"/>
              </w:rPr>
              <w:br/>
            </w:r>
            <w:r w:rsidRPr="001C2E37">
              <w:rPr>
                <w:rFonts w:cs="Tahoma"/>
                <w:szCs w:val="16"/>
              </w:rPr>
              <w:br/>
            </w:r>
          </w:p>
        </w:tc>
        <w:tc>
          <w:tcPr>
            <w:tcW w:w="251"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692EECD" w14:textId="77777777" w:rsidR="006D3EDA" w:rsidRPr="00462C13" w:rsidRDefault="006D3EDA"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bCs/>
                <w:szCs w:val="22"/>
              </w:rPr>
              <w:t xml:space="preserve">2023-2026: </w:t>
            </w:r>
            <w:r w:rsidRPr="00462C13">
              <w:rPr>
                <w:rFonts w:cs="Tahoma"/>
                <w:szCs w:val="22"/>
              </w:rPr>
              <w:t xml:space="preserve">40 </w:t>
            </w:r>
            <w:r w:rsidRPr="00462C13">
              <w:rPr>
                <w:rFonts w:cs="Tahoma"/>
                <w:szCs w:val="22"/>
              </w:rPr>
              <w:br/>
            </w:r>
            <w:r w:rsidRPr="00462C13">
              <w:rPr>
                <w:rFonts w:cs="Tahoma"/>
                <w:szCs w:val="22"/>
              </w:rPr>
              <w:br/>
              <w:t>2023: 10</w:t>
            </w:r>
            <w:r w:rsidRPr="00462C13">
              <w:rPr>
                <w:rFonts w:cs="Tahoma"/>
                <w:szCs w:val="22"/>
              </w:rPr>
              <w:br/>
              <w:t>2024: 10</w:t>
            </w:r>
            <w:r w:rsidRPr="00462C13">
              <w:rPr>
                <w:rFonts w:cs="Tahoma"/>
                <w:szCs w:val="22"/>
              </w:rPr>
              <w:br/>
              <w:t>2025: 10</w:t>
            </w:r>
            <w:r w:rsidRPr="00462C13">
              <w:rPr>
                <w:rFonts w:cs="Tahoma"/>
                <w:szCs w:val="22"/>
              </w:rPr>
              <w:br/>
              <w:t>2026: 10</w:t>
            </w:r>
          </w:p>
        </w:tc>
        <w:tc>
          <w:tcPr>
            <w:tcW w:w="15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DDFE997" w14:textId="77777777" w:rsidR="006D3EDA" w:rsidRPr="00CE7843" w:rsidRDefault="006D3EDA" w:rsidP="005B79CC">
            <w:pPr>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8"/>
                <w:bdr w:val="none" w:sz="0" w:space="0" w:color="auto" w:frame="1"/>
              </w:rPr>
            </w:pPr>
            <w:r w:rsidRPr="00053B71">
              <w:rPr>
                <w:rFonts w:cs="Tahoma"/>
                <w:bCs/>
                <w:szCs w:val="16"/>
              </w:rPr>
              <w:t>10</w:t>
            </w:r>
          </w:p>
        </w:tc>
        <w:tc>
          <w:tcPr>
            <w:tcW w:w="2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2112BC2" w14:textId="145AF649" w:rsidR="006D3EDA" w:rsidRPr="00220D59" w:rsidRDefault="00DB1C59"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220D59">
              <w:rPr>
                <w:rFonts w:cs="Tahoma"/>
                <w:szCs w:val="16"/>
              </w:rPr>
              <w:t>26</w:t>
            </w:r>
          </w:p>
        </w:tc>
        <w:tc>
          <w:tcPr>
            <w:tcW w:w="19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7C88C84" w14:textId="7E15C292" w:rsidR="006D3EDA" w:rsidRPr="00220D59" w:rsidRDefault="00DB1C59"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220D59">
              <w:rPr>
                <w:rFonts w:cs="Tahoma"/>
                <w:szCs w:val="16"/>
              </w:rPr>
              <w:t>260</w:t>
            </w:r>
            <w:r w:rsidR="006D3EDA" w:rsidRPr="00220D59">
              <w:rPr>
                <w:rFonts w:cs="Tahoma"/>
                <w:szCs w:val="16"/>
              </w:rPr>
              <w:t>,00%</w:t>
            </w:r>
          </w:p>
        </w:tc>
        <w:tc>
          <w:tcPr>
            <w:tcW w:w="337" w:type="pct"/>
            <w:vMerge w:val="restart"/>
            <w:tcBorders>
              <w:top w:val="single" w:sz="12" w:space="0" w:color="FFFFFF"/>
              <w:left w:val="single" w:sz="12" w:space="0" w:color="FFFFFF"/>
              <w:right w:val="single" w:sz="12" w:space="0" w:color="FFFFFF"/>
            </w:tcBorders>
            <w:shd w:val="clear" w:color="auto" w:fill="F2F2F2" w:themeFill="background1" w:themeFillShade="F2"/>
          </w:tcPr>
          <w:p w14:paraId="53C37207" w14:textId="2718F3D8" w:rsidR="006D3EDA" w:rsidRPr="008559F8" w:rsidRDefault="00905017"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905017">
              <w:rPr>
                <w:rFonts w:cs="Tahoma"/>
                <w:szCs w:val="16"/>
              </w:rPr>
              <w:t>8.745.926.741,00</w:t>
            </w:r>
          </w:p>
        </w:tc>
        <w:tc>
          <w:tcPr>
            <w:tcW w:w="337" w:type="pct"/>
            <w:vMerge w:val="restart"/>
            <w:tcBorders>
              <w:top w:val="single" w:sz="12" w:space="0" w:color="FFFFFF"/>
              <w:left w:val="single" w:sz="12" w:space="0" w:color="FFFFFF"/>
              <w:right w:val="single" w:sz="12" w:space="0" w:color="FFFFFF"/>
            </w:tcBorders>
            <w:shd w:val="clear" w:color="auto" w:fill="F2F2F2" w:themeFill="background1" w:themeFillShade="F2"/>
          </w:tcPr>
          <w:p w14:paraId="0BFA5ABA" w14:textId="59B1A1C3" w:rsidR="006D3EDA" w:rsidRPr="008559F8" w:rsidRDefault="00CF591E" w:rsidP="005B79CC">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CF591E">
              <w:rPr>
                <w:rFonts w:cs="Tahoma"/>
                <w:szCs w:val="16"/>
              </w:rPr>
              <w:t>7.540.970.013,99</w:t>
            </w:r>
          </w:p>
        </w:tc>
        <w:tc>
          <w:tcPr>
            <w:tcW w:w="361" w:type="pct"/>
            <w:vMerge w:val="restart"/>
            <w:tcBorders>
              <w:top w:val="single" w:sz="12" w:space="0" w:color="FFFFFF"/>
              <w:left w:val="single" w:sz="12" w:space="0" w:color="FFFFFF"/>
              <w:right w:val="single" w:sz="12" w:space="0" w:color="FFFFFF"/>
            </w:tcBorders>
            <w:shd w:val="clear" w:color="auto" w:fill="F2F2F2" w:themeFill="background1" w:themeFillShade="F2"/>
          </w:tcPr>
          <w:p w14:paraId="399811AB" w14:textId="77777777" w:rsidR="00933577" w:rsidRPr="00933577" w:rsidRDefault="006D3EDA" w:rsidP="00933577">
            <w:pPr>
              <w:cnfStyle w:val="000000100000" w:firstRow="0" w:lastRow="0" w:firstColumn="0" w:lastColumn="0" w:oddVBand="0" w:evenVBand="0" w:oddHBand="1" w:evenHBand="0" w:firstRowFirstColumn="0" w:firstRowLastColumn="0" w:lastRowFirstColumn="0" w:lastRowLastColumn="0"/>
              <w:rPr>
                <w:rFonts w:cs="Tahoma"/>
                <w:szCs w:val="16"/>
              </w:rPr>
            </w:pPr>
            <w:r w:rsidRPr="002730E0">
              <w:rPr>
                <w:rFonts w:cs="Tahoma"/>
                <w:b/>
                <w:szCs w:val="16"/>
              </w:rPr>
              <w:t>Sub ejecución:</w:t>
            </w:r>
            <w:r>
              <w:rPr>
                <w:rFonts w:cs="Tahoma"/>
                <w:szCs w:val="16"/>
              </w:rPr>
              <w:t xml:space="preserve"> </w:t>
            </w:r>
            <w:r w:rsidR="00933577" w:rsidRPr="00933577">
              <w:rPr>
                <w:rFonts w:cs="Tahoma"/>
                <w:szCs w:val="16"/>
              </w:rPr>
              <w:t>El presupuesto del programa 097 fue de ¢8.461.316.777,00 este monto sufrió variación al final del año con motivo de la Modificación por la Norma H-014, (plazas vacantes que no fueron ocupadas.)</w:t>
            </w:r>
          </w:p>
          <w:p w14:paraId="19EA9967" w14:textId="77777777" w:rsidR="00933577" w:rsidRPr="00933577" w:rsidRDefault="00933577" w:rsidP="00933577">
            <w:pPr>
              <w:cnfStyle w:val="000000100000" w:firstRow="0" w:lastRow="0" w:firstColumn="0" w:lastColumn="0" w:oddVBand="0" w:evenVBand="0" w:oddHBand="1" w:evenHBand="0" w:firstRowFirstColumn="0" w:firstRowLastColumn="0" w:lastRowFirstColumn="0" w:lastRowLastColumn="0"/>
              <w:rPr>
                <w:rFonts w:cs="Tahoma"/>
                <w:szCs w:val="16"/>
              </w:rPr>
            </w:pPr>
            <w:r w:rsidRPr="00933577">
              <w:rPr>
                <w:rFonts w:cs="Tahoma"/>
                <w:szCs w:val="16"/>
              </w:rPr>
              <w:t>-Por tanto, para el periodo 2025, el presupuesto final aprobado fue de ¢8.745.926.741,00 y el monto ejecutado de ¢7.540.970.013,99 lo que representa el 86,22%.</w:t>
            </w:r>
          </w:p>
          <w:p w14:paraId="1DFB75A1" w14:textId="580BB472" w:rsidR="006D3EDA" w:rsidRPr="002730E0" w:rsidRDefault="00933577" w:rsidP="00933577">
            <w:pPr>
              <w:cnfStyle w:val="000000100000" w:firstRow="0" w:lastRow="0" w:firstColumn="0" w:lastColumn="0" w:oddVBand="0" w:evenVBand="0" w:oddHBand="1" w:evenHBand="0" w:firstRowFirstColumn="0" w:firstRowLastColumn="0" w:lastRowFirstColumn="0" w:lastRowLastColumn="0"/>
              <w:rPr>
                <w:rFonts w:cs="Tahoma"/>
                <w:szCs w:val="16"/>
              </w:rPr>
            </w:pPr>
            <w:r w:rsidRPr="00933577">
              <w:rPr>
                <w:rFonts w:cs="Tahoma"/>
                <w:szCs w:val="16"/>
              </w:rPr>
              <w:t>-La sub ejecución, obedece a diferenciales cambiarios de compras en $, los cuales no se pudieron utilizar debido a la fecha de su liberación.  Además, bienes o servicios adjudicados que no fueron entregados o facturados por los proveedores. No obstante, su adquisición contribuyó al equipamiento policial, así como al respectivo logro de los objetivos institucionales.</w:t>
            </w:r>
          </w:p>
          <w:p w14:paraId="52DC68D2"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p>
        </w:tc>
        <w:tc>
          <w:tcPr>
            <w:tcW w:w="26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CAE1721"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2730E0">
              <w:rPr>
                <w:rFonts w:cs="Tahoma"/>
                <w:szCs w:val="16"/>
              </w:rPr>
              <w:t>Director de la Policía de Control de Drogas. Ministerio de Seguridad Pública</w:t>
            </w:r>
          </w:p>
        </w:tc>
        <w:tc>
          <w:tcPr>
            <w:tcW w:w="310" w:type="pct"/>
            <w:tcBorders>
              <w:top w:val="single" w:sz="12" w:space="0" w:color="FFFFFF"/>
              <w:left w:val="single" w:sz="12" w:space="0" w:color="FFFFFF"/>
              <w:bottom w:val="single" w:sz="12" w:space="0" w:color="FFFFFF"/>
              <w:right w:val="single" w:sz="12" w:space="0" w:color="FFFFFF"/>
            </w:tcBorders>
            <w:shd w:val="clear" w:color="auto" w:fill="92D050"/>
          </w:tcPr>
          <w:p w14:paraId="6DBA3AD5"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C43FB6">
              <w:rPr>
                <w:rFonts w:cs="Tahoma"/>
                <w:b/>
                <w:szCs w:val="16"/>
              </w:rPr>
              <w:t>Cumplimiento alto</w:t>
            </w:r>
          </w:p>
        </w:tc>
        <w:tc>
          <w:tcPr>
            <w:tcW w:w="187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C6FE24F" w14:textId="77777777" w:rsidR="006D3EDA" w:rsidRDefault="006D3ED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Logros </w:t>
            </w:r>
          </w:p>
          <w:p w14:paraId="270108CA" w14:textId="77777777" w:rsidR="00D70BE4" w:rsidRPr="00D70BE4" w:rsidRDefault="00D70BE4" w:rsidP="00D70BE4">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D70BE4">
              <w:rPr>
                <w:rFonts w:cs="Tahoma"/>
                <w:szCs w:val="16"/>
              </w:rPr>
              <w:t>En 2025, la Policía de Control de Drogas (PCD) no solo cumplió su objetivo: lo superó con creces, alcanzando más del 125% de la meta prevista en la intervención de organizaciones criminales. Este resultado representa un golpe contundente contra las estructuras internacionales que utilizan nuestro territorio como plataforma estratégica para sus operaciones ilícitas.</w:t>
            </w:r>
          </w:p>
          <w:p w14:paraId="2708F789" w14:textId="6DBAE6A1" w:rsidR="006D3EDA" w:rsidRDefault="00D70BE4" w:rsidP="00D70BE4">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D70BE4">
              <w:rPr>
                <w:rFonts w:cs="Tahoma"/>
                <w:szCs w:val="16"/>
              </w:rPr>
              <w:t>Estas acciones directas han permitido un debilitamiento significativo en la capacidad operativa de las organizaciones dedicadas al tráfico internacional, reduciendo su influencia en la región y contribuyendo a la desarticulación de redes de narcotráfico con alcance global. Este avance no es solo un logro policial: es un paso firme en la defensa de nuestra soberanía, disminuyendo el riesgo de tráfico hacia otros países y protegiendo la salud pública, la estabilidad social y el bienestar de nuestra población.</w:t>
            </w:r>
          </w:p>
          <w:p w14:paraId="413374A4" w14:textId="77777777" w:rsidR="00D70BE4" w:rsidRDefault="00D70BE4" w:rsidP="00D70BE4">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1E0CF799" w14:textId="77777777" w:rsidR="006D3EDA" w:rsidRDefault="006D3ED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Factores que contribuyeron </w:t>
            </w:r>
            <w:r>
              <w:rPr>
                <w:rFonts w:cs="Tahoma"/>
                <w:b/>
                <w:szCs w:val="16"/>
              </w:rPr>
              <w:t xml:space="preserve">al cumplimiento </w:t>
            </w:r>
            <w:r w:rsidRPr="007B087D">
              <w:rPr>
                <w:rFonts w:cs="Tahoma"/>
                <w:b/>
                <w:szCs w:val="16"/>
              </w:rPr>
              <w:t>de la meta superior a 125%</w:t>
            </w:r>
          </w:p>
          <w:p w14:paraId="2631166D" w14:textId="77777777" w:rsidR="00D70BE4" w:rsidRPr="00D70BE4" w:rsidRDefault="00D70BE4" w:rsidP="00D70BE4">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D70BE4">
              <w:rPr>
                <w:rFonts w:cs="Tahoma"/>
                <w:szCs w:val="16"/>
              </w:rPr>
              <w:t>El éxito alcanzado se fundamenta en la implementación de estrategias policiales dinámicas, adaptadas a la evolución del crimen organizad transnacional, junto con una planificación y supervisión rigurosa de los objetivos operativos. Asimismo, la Policía ha mantenido relaciones estrechas y colaborativas con organismos internacionales, garantizando una comunicación fluida para la identificación y combate de bandas transnacionales dedicadas al tráfico internacional de drogas.</w:t>
            </w:r>
          </w:p>
          <w:p w14:paraId="72835E3A" w14:textId="44362C50" w:rsidR="006D3EDA" w:rsidRPr="007B087D" w:rsidRDefault="00D70BE4" w:rsidP="00D70BE4">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D70BE4">
              <w:rPr>
                <w:rFonts w:cs="Tahoma"/>
                <w:szCs w:val="16"/>
              </w:rPr>
              <w:t>Las acciones desarrolladas en el marco de la cooperación internacional no solo permitieron obtener resultados positivos en la lucha contra el narcotráfico, sino también fortalecer los lazos de confianza con instituciones internacionales, maximizando la efectividad de las intervenciones y generando en la ciudadanía mayor confianza en la seguridad nacional e internacional.</w:t>
            </w:r>
          </w:p>
        </w:tc>
      </w:tr>
      <w:tr w:rsidR="008B63F0" w:rsidRPr="00462C13" w14:paraId="79F7DC7C" w14:textId="77777777" w:rsidTr="008A31D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vMerge/>
            <w:tcBorders>
              <w:left w:val="single" w:sz="12" w:space="0" w:color="FFFFFF"/>
              <w:bottom w:val="single" w:sz="12" w:space="0" w:color="FFFFFF"/>
              <w:right w:val="single" w:sz="12" w:space="0" w:color="FFFFFF"/>
            </w:tcBorders>
            <w:shd w:val="clear" w:color="auto" w:fill="F2F2F2" w:themeFill="background1" w:themeFillShade="F2"/>
          </w:tcPr>
          <w:p w14:paraId="3219E68E" w14:textId="77777777" w:rsidR="006D3EDA" w:rsidRPr="00462C13" w:rsidRDefault="006D3EDA" w:rsidP="005B79CC">
            <w:pPr>
              <w:jc w:val="both"/>
              <w:rPr>
                <w:rFonts w:cs="Tahoma"/>
                <w:szCs w:val="16"/>
              </w:rPr>
            </w:pPr>
          </w:p>
        </w:tc>
        <w:tc>
          <w:tcPr>
            <w:tcW w:w="4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6AEB5A5" w14:textId="29397D35" w:rsidR="006D3EDA" w:rsidRDefault="006D3EDA" w:rsidP="005B79C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ahoma"/>
                <w:bCs/>
                <w:sz w:val="14"/>
                <w:szCs w:val="22"/>
              </w:rPr>
            </w:pPr>
            <w:r w:rsidRPr="001C2E37">
              <w:rPr>
                <w:rFonts w:cs="Tahoma"/>
                <w:b/>
                <w:bCs/>
                <w:szCs w:val="16"/>
              </w:rPr>
              <w:t>A.7.1.2</w:t>
            </w:r>
            <w:r w:rsidRPr="001C2E37">
              <w:rPr>
                <w:rFonts w:cs="Tahoma"/>
                <w:szCs w:val="16"/>
              </w:rPr>
              <w:t xml:space="preserve"> Cantidad de organizaciones criminales dedicadas al tráfico nacional de drogas ilícitas que han sido debilitadas, destruidas, desestabilizadas o eliminadas de forma total o parcial mediante las investigaciones y operaciones policiales desarrolladas por la Policía de Control de Drogas (PCD).</w:t>
            </w:r>
            <w:r w:rsidRPr="001C2E37">
              <w:rPr>
                <w:rFonts w:cs="Tahoma"/>
                <w:szCs w:val="16"/>
              </w:rPr>
              <w:br/>
            </w:r>
            <w:r w:rsidRPr="001C2E37">
              <w:rPr>
                <w:rFonts w:cs="Tahoma"/>
                <w:szCs w:val="16"/>
              </w:rPr>
              <w:br/>
            </w:r>
          </w:p>
          <w:p w14:paraId="177B4F8A" w14:textId="77777777" w:rsidR="006D3EDA" w:rsidRPr="00462C13" w:rsidRDefault="006D3EDA" w:rsidP="005B79C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ahoma"/>
                <w:szCs w:val="16"/>
              </w:rPr>
            </w:pPr>
          </w:p>
        </w:tc>
        <w:tc>
          <w:tcPr>
            <w:tcW w:w="251"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0A71761" w14:textId="6EEA3CFB" w:rsidR="006D3EDA" w:rsidRPr="00462C13" w:rsidRDefault="006D3EDA" w:rsidP="005B79CC">
            <w:pPr>
              <w:jc w:val="left"/>
              <w:cnfStyle w:val="000000010000" w:firstRow="0" w:lastRow="0" w:firstColumn="0" w:lastColumn="0" w:oddVBand="0" w:evenVBand="0" w:oddHBand="0" w:evenHBand="1" w:firstRowFirstColumn="0" w:firstRowLastColumn="0" w:lastRowFirstColumn="0" w:lastRowLastColumn="0"/>
              <w:rPr>
                <w:rFonts w:cs="Tahoma"/>
                <w:szCs w:val="16"/>
              </w:rPr>
            </w:pPr>
            <w:r w:rsidRPr="00462C13">
              <w:rPr>
                <w:rFonts w:cs="Tahoma"/>
                <w:b/>
                <w:bCs/>
                <w:szCs w:val="22"/>
              </w:rPr>
              <w:t xml:space="preserve">2023-2026: </w:t>
            </w:r>
            <w:r w:rsidRPr="00462C13">
              <w:rPr>
                <w:rFonts w:cs="Tahoma"/>
                <w:szCs w:val="22"/>
              </w:rPr>
              <w:t xml:space="preserve">300 </w:t>
            </w:r>
            <w:r w:rsidRPr="00462C13">
              <w:rPr>
                <w:rFonts w:cs="Tahoma"/>
                <w:szCs w:val="22"/>
              </w:rPr>
              <w:br/>
            </w:r>
            <w:r w:rsidRPr="00462C13">
              <w:rPr>
                <w:rFonts w:cs="Tahoma"/>
                <w:szCs w:val="22"/>
              </w:rPr>
              <w:br/>
              <w:t>2023: 60</w:t>
            </w:r>
            <w:r w:rsidRPr="00462C13">
              <w:rPr>
                <w:rFonts w:cs="Tahoma"/>
                <w:szCs w:val="22"/>
              </w:rPr>
              <w:br/>
              <w:t xml:space="preserve">2024: 70 </w:t>
            </w:r>
            <w:r w:rsidRPr="00462C13">
              <w:rPr>
                <w:rFonts w:cs="Tahoma"/>
                <w:szCs w:val="22"/>
              </w:rPr>
              <w:br/>
              <w:t xml:space="preserve">2025: </w:t>
            </w:r>
            <w:r w:rsidR="00841B0B">
              <w:rPr>
                <w:rFonts w:cs="Tahoma"/>
                <w:szCs w:val="22"/>
              </w:rPr>
              <w:t>100</w:t>
            </w:r>
            <w:r w:rsidRPr="00462C13">
              <w:rPr>
                <w:rFonts w:cs="Tahoma"/>
                <w:szCs w:val="22"/>
              </w:rPr>
              <w:t xml:space="preserve"> </w:t>
            </w:r>
            <w:r w:rsidRPr="00462C13">
              <w:rPr>
                <w:rFonts w:cs="Tahoma"/>
                <w:szCs w:val="22"/>
              </w:rPr>
              <w:br/>
              <w:t xml:space="preserve">2026: </w:t>
            </w:r>
            <w:r w:rsidR="00841B0B">
              <w:rPr>
                <w:rFonts w:cs="Tahoma"/>
                <w:szCs w:val="22"/>
              </w:rPr>
              <w:t>110</w:t>
            </w:r>
          </w:p>
        </w:tc>
        <w:tc>
          <w:tcPr>
            <w:tcW w:w="15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538D18F" w14:textId="5FCE92E0" w:rsidR="006D3EDA" w:rsidRPr="00CE7843" w:rsidRDefault="00841B0B" w:rsidP="005B79CC">
            <w:pPr>
              <w:jc w:val="center"/>
              <w:cnfStyle w:val="000000010000" w:firstRow="0" w:lastRow="0" w:firstColumn="0" w:lastColumn="0" w:oddVBand="0" w:evenVBand="0" w:oddHBand="0" w:evenHBand="1" w:firstRowFirstColumn="0" w:firstRowLastColumn="0" w:lastRowFirstColumn="0" w:lastRowLastColumn="0"/>
              <w:rPr>
                <w:rFonts w:eastAsia="Arial Unicode MS" w:cs="Tahoma"/>
                <w:szCs w:val="18"/>
                <w:bdr w:val="none" w:sz="0" w:space="0" w:color="auto" w:frame="1"/>
              </w:rPr>
            </w:pPr>
            <w:r>
              <w:rPr>
                <w:rFonts w:cs="Tahoma"/>
                <w:bCs/>
                <w:szCs w:val="16"/>
              </w:rPr>
              <w:t>100</w:t>
            </w:r>
          </w:p>
        </w:tc>
        <w:tc>
          <w:tcPr>
            <w:tcW w:w="2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FCC3562" w14:textId="7790E624" w:rsidR="006D3EDA" w:rsidRPr="00CE7843" w:rsidRDefault="000F7497" w:rsidP="005B79CC">
            <w:pPr>
              <w:jc w:val="center"/>
              <w:cnfStyle w:val="000000010000" w:firstRow="0" w:lastRow="0" w:firstColumn="0" w:lastColumn="0" w:oddVBand="0" w:evenVBand="0" w:oddHBand="0" w:evenHBand="1" w:firstRowFirstColumn="0" w:firstRowLastColumn="0" w:lastRowFirstColumn="0" w:lastRowLastColumn="0"/>
              <w:rPr>
                <w:rFonts w:cs="Tahoma"/>
                <w:szCs w:val="16"/>
              </w:rPr>
            </w:pPr>
            <w:r w:rsidRPr="000F7497">
              <w:rPr>
                <w:rFonts w:cs="Tahoma"/>
                <w:szCs w:val="16"/>
              </w:rPr>
              <w:t>169</w:t>
            </w:r>
          </w:p>
        </w:tc>
        <w:tc>
          <w:tcPr>
            <w:tcW w:w="19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828FA05" w14:textId="1ABF5114" w:rsidR="006D3EDA" w:rsidRPr="00CE7843" w:rsidRDefault="000F7497" w:rsidP="005B79CC">
            <w:pPr>
              <w:cnfStyle w:val="000000010000" w:firstRow="0" w:lastRow="0" w:firstColumn="0" w:lastColumn="0" w:oddVBand="0" w:evenVBand="0" w:oddHBand="0" w:evenHBand="1" w:firstRowFirstColumn="0" w:firstRowLastColumn="0" w:lastRowFirstColumn="0" w:lastRowLastColumn="0"/>
              <w:rPr>
                <w:rFonts w:cs="Tahoma"/>
                <w:szCs w:val="16"/>
              </w:rPr>
            </w:pPr>
            <w:r w:rsidRPr="000F7497">
              <w:rPr>
                <w:rFonts w:cs="Tahoma"/>
                <w:szCs w:val="16"/>
              </w:rPr>
              <w:t>169</w:t>
            </w:r>
            <w:r>
              <w:rPr>
                <w:rFonts w:cs="Tahoma"/>
                <w:szCs w:val="16"/>
              </w:rPr>
              <w:t>,00</w:t>
            </w:r>
            <w:r w:rsidR="006D3EDA" w:rsidRPr="002730E0">
              <w:rPr>
                <w:rFonts w:cs="Tahoma"/>
                <w:szCs w:val="16"/>
              </w:rPr>
              <w:t>%</w:t>
            </w:r>
          </w:p>
        </w:tc>
        <w:tc>
          <w:tcPr>
            <w:tcW w:w="337" w:type="pct"/>
            <w:vMerge/>
            <w:tcBorders>
              <w:left w:val="single" w:sz="12" w:space="0" w:color="FFFFFF"/>
              <w:bottom w:val="single" w:sz="12" w:space="0" w:color="FFFFFF"/>
              <w:right w:val="single" w:sz="12" w:space="0" w:color="FFFFFF"/>
            </w:tcBorders>
            <w:shd w:val="clear" w:color="auto" w:fill="F2F2F2" w:themeFill="background1" w:themeFillShade="F2"/>
          </w:tcPr>
          <w:p w14:paraId="370C70C0" w14:textId="77777777" w:rsidR="006D3EDA" w:rsidRPr="00462C13" w:rsidRDefault="006D3EDA" w:rsidP="005B79CC">
            <w:pPr>
              <w:cnfStyle w:val="000000010000" w:firstRow="0" w:lastRow="0" w:firstColumn="0" w:lastColumn="0" w:oddVBand="0" w:evenVBand="0" w:oddHBand="0" w:evenHBand="1" w:firstRowFirstColumn="0" w:firstRowLastColumn="0" w:lastRowFirstColumn="0" w:lastRowLastColumn="0"/>
              <w:rPr>
                <w:rFonts w:cs="Tahoma"/>
                <w:szCs w:val="16"/>
              </w:rPr>
            </w:pPr>
          </w:p>
        </w:tc>
        <w:tc>
          <w:tcPr>
            <w:tcW w:w="337" w:type="pct"/>
            <w:vMerge/>
            <w:tcBorders>
              <w:left w:val="single" w:sz="12" w:space="0" w:color="FFFFFF"/>
              <w:bottom w:val="single" w:sz="12" w:space="0" w:color="FFFFFF"/>
              <w:right w:val="single" w:sz="12" w:space="0" w:color="FFFFFF"/>
            </w:tcBorders>
            <w:shd w:val="clear" w:color="auto" w:fill="F2F2F2" w:themeFill="background1" w:themeFillShade="F2"/>
          </w:tcPr>
          <w:p w14:paraId="734E54E8" w14:textId="77777777" w:rsidR="006D3EDA" w:rsidRPr="00462C13" w:rsidRDefault="006D3EDA" w:rsidP="005B79CC">
            <w:pPr>
              <w:cnfStyle w:val="000000010000" w:firstRow="0" w:lastRow="0" w:firstColumn="0" w:lastColumn="0" w:oddVBand="0" w:evenVBand="0" w:oddHBand="0" w:evenHBand="1" w:firstRowFirstColumn="0" w:firstRowLastColumn="0" w:lastRowFirstColumn="0" w:lastRowLastColumn="0"/>
              <w:rPr>
                <w:rFonts w:cs="Tahoma"/>
                <w:szCs w:val="16"/>
              </w:rPr>
            </w:pPr>
          </w:p>
        </w:tc>
        <w:tc>
          <w:tcPr>
            <w:tcW w:w="361" w:type="pct"/>
            <w:vMerge/>
            <w:tcBorders>
              <w:left w:val="single" w:sz="12" w:space="0" w:color="FFFFFF"/>
              <w:bottom w:val="single" w:sz="12" w:space="0" w:color="FFFFFF"/>
              <w:right w:val="single" w:sz="12" w:space="0" w:color="FFFFFF"/>
            </w:tcBorders>
            <w:shd w:val="clear" w:color="auto" w:fill="F2F2F2" w:themeFill="background1" w:themeFillShade="F2"/>
          </w:tcPr>
          <w:p w14:paraId="1F1C3C59" w14:textId="77777777" w:rsidR="006D3EDA" w:rsidRPr="00462C13" w:rsidRDefault="006D3EDA" w:rsidP="005B79CC">
            <w:pPr>
              <w:jc w:val="center"/>
              <w:cnfStyle w:val="000000010000" w:firstRow="0" w:lastRow="0" w:firstColumn="0" w:lastColumn="0" w:oddVBand="0" w:evenVBand="0" w:oddHBand="0" w:evenHBand="1" w:firstRowFirstColumn="0" w:firstRowLastColumn="0" w:lastRowFirstColumn="0" w:lastRowLastColumn="0"/>
              <w:rPr>
                <w:rFonts w:cs="Tahoma"/>
                <w:szCs w:val="16"/>
              </w:rPr>
            </w:pPr>
          </w:p>
        </w:tc>
        <w:tc>
          <w:tcPr>
            <w:tcW w:w="26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943E3BF" w14:textId="77777777" w:rsidR="006D3EDA" w:rsidRPr="00462C13" w:rsidRDefault="006D3EDA" w:rsidP="005B79CC">
            <w:pPr>
              <w:jc w:val="center"/>
              <w:cnfStyle w:val="000000010000" w:firstRow="0" w:lastRow="0" w:firstColumn="0" w:lastColumn="0" w:oddVBand="0" w:evenVBand="0" w:oddHBand="0" w:evenHBand="1" w:firstRowFirstColumn="0" w:firstRowLastColumn="0" w:lastRowFirstColumn="0" w:lastRowLastColumn="0"/>
              <w:rPr>
                <w:rFonts w:cs="Tahoma"/>
                <w:szCs w:val="16"/>
              </w:rPr>
            </w:pPr>
            <w:r w:rsidRPr="002730E0">
              <w:rPr>
                <w:rFonts w:cs="Tahoma"/>
                <w:szCs w:val="16"/>
              </w:rPr>
              <w:t>Director de la Policía de Control de Drogas. Ministerio de Seguridad Pública</w:t>
            </w:r>
          </w:p>
        </w:tc>
        <w:tc>
          <w:tcPr>
            <w:tcW w:w="310" w:type="pct"/>
            <w:tcBorders>
              <w:top w:val="single" w:sz="12" w:space="0" w:color="FFFFFF"/>
              <w:left w:val="single" w:sz="12" w:space="0" w:color="FFFFFF"/>
              <w:bottom w:val="single" w:sz="12" w:space="0" w:color="FFFFFF"/>
              <w:right w:val="single" w:sz="12" w:space="0" w:color="FFFFFF"/>
            </w:tcBorders>
            <w:shd w:val="clear" w:color="auto" w:fill="92D050"/>
          </w:tcPr>
          <w:p w14:paraId="5C84DFD1" w14:textId="77777777" w:rsidR="006D3EDA" w:rsidRPr="00462C13" w:rsidRDefault="006D3EDA" w:rsidP="005B79CC">
            <w:pPr>
              <w:jc w:val="center"/>
              <w:cnfStyle w:val="000000010000" w:firstRow="0" w:lastRow="0" w:firstColumn="0" w:lastColumn="0" w:oddVBand="0" w:evenVBand="0" w:oddHBand="0" w:evenHBand="1" w:firstRowFirstColumn="0" w:firstRowLastColumn="0" w:lastRowFirstColumn="0" w:lastRowLastColumn="0"/>
              <w:rPr>
                <w:rFonts w:cs="Tahoma"/>
                <w:b/>
                <w:szCs w:val="16"/>
              </w:rPr>
            </w:pPr>
            <w:r w:rsidRPr="00C43FB6">
              <w:rPr>
                <w:rFonts w:cs="Tahoma"/>
                <w:b/>
                <w:szCs w:val="16"/>
              </w:rPr>
              <w:t>Cumplimiento alto</w:t>
            </w:r>
          </w:p>
        </w:tc>
        <w:tc>
          <w:tcPr>
            <w:tcW w:w="1870"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08B2F10" w14:textId="77777777" w:rsidR="006D3EDA" w:rsidRDefault="006D3EDA" w:rsidP="005B79CC">
            <w:p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r w:rsidRPr="007B087D">
              <w:rPr>
                <w:rFonts w:cs="Tahoma"/>
                <w:b/>
                <w:szCs w:val="16"/>
              </w:rPr>
              <w:t xml:space="preserve">Logros </w:t>
            </w:r>
          </w:p>
          <w:p w14:paraId="0B803F74" w14:textId="77777777" w:rsidR="000130F3" w:rsidRDefault="000130F3" w:rsidP="000130F3">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 xml:space="preserve">La Policía de Control de Drogas (PCD), como cuerpo policial especializado en la represión del tráfico ilícito de drogas y delitos conexos, ha demostrado resultados destacados en su lucha contra el "narcomenudeo" y el crimen organizado nacional. Este esfuerzo estratégico y coordinado ha permitido dirigir acciones contundentes contra las principales organizaciones narcotraficantes y expendedores locales, impactando directamente en el bienestar de la población. </w:t>
            </w:r>
          </w:p>
          <w:p w14:paraId="08EB8803" w14:textId="77777777" w:rsidR="000130F3" w:rsidRPr="000130F3" w:rsidRDefault="000130F3" w:rsidP="000130F3">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p>
          <w:p w14:paraId="520EEBA7" w14:textId="77777777" w:rsidR="000130F3" w:rsidRPr="000130F3" w:rsidRDefault="000130F3" w:rsidP="000130F3">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Nota: Como resultado de las 496 operaciones antidrogas realizadas por la PCD durante el año 2025, se logró el decomiso de importantes cantidades de drogas, así como bienes utilizados por las organizaciones para cometer su actividad ilícita de narcotráfico.</w:t>
            </w:r>
          </w:p>
          <w:p w14:paraId="21734D72" w14:textId="77777777" w:rsidR="000130F3" w:rsidRPr="000130F3" w:rsidRDefault="000130F3" w:rsidP="000130F3">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Con respecto a las incautaciones de drogas se contabilizó lo siguiente:</w:t>
            </w:r>
          </w:p>
          <w:p w14:paraId="5F6ED7D8" w14:textId="7BDAE503" w:rsidR="000130F3" w:rsidRPr="000130F3" w:rsidRDefault="000130F3" w:rsidP="000130F3">
            <w:pPr>
              <w:pStyle w:val="Prrafodelista"/>
              <w:numPr>
                <w:ilvl w:val="0"/>
                <w:numId w:val="37"/>
              </w:numPr>
              <w:tabs>
                <w:tab w:val="left" w:pos="1650"/>
              </w:tabs>
              <w:ind w:left="480"/>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11.464,84 kilos de marihuana</w:t>
            </w:r>
          </w:p>
          <w:p w14:paraId="3A5B539C" w14:textId="672FC140" w:rsidR="000130F3" w:rsidRPr="000130F3" w:rsidRDefault="000130F3" w:rsidP="000130F3">
            <w:pPr>
              <w:pStyle w:val="Prrafodelista"/>
              <w:numPr>
                <w:ilvl w:val="0"/>
                <w:numId w:val="37"/>
              </w:numPr>
              <w:tabs>
                <w:tab w:val="left" w:pos="1650"/>
              </w:tabs>
              <w:ind w:left="480"/>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295.868 plantas de marihuana</w:t>
            </w:r>
          </w:p>
          <w:p w14:paraId="5CA34EDA" w14:textId="5AD72746" w:rsidR="000130F3" w:rsidRPr="000130F3" w:rsidRDefault="000130F3" w:rsidP="000130F3">
            <w:pPr>
              <w:pStyle w:val="Prrafodelista"/>
              <w:numPr>
                <w:ilvl w:val="0"/>
                <w:numId w:val="37"/>
              </w:numPr>
              <w:tabs>
                <w:tab w:val="left" w:pos="1650"/>
              </w:tabs>
              <w:ind w:left="480"/>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39.964,54 kilos de cocaína</w:t>
            </w:r>
          </w:p>
          <w:p w14:paraId="0014F078" w14:textId="0D51BC64" w:rsidR="000130F3" w:rsidRPr="000130F3" w:rsidRDefault="000130F3" w:rsidP="000130F3">
            <w:pPr>
              <w:pStyle w:val="Prrafodelista"/>
              <w:numPr>
                <w:ilvl w:val="0"/>
                <w:numId w:val="37"/>
              </w:numPr>
              <w:tabs>
                <w:tab w:val="left" w:pos="1650"/>
              </w:tabs>
              <w:ind w:left="480"/>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23.004 piedras de crack</w:t>
            </w:r>
          </w:p>
          <w:p w14:paraId="3E59D4F4" w14:textId="3C697668" w:rsidR="000130F3" w:rsidRPr="000130F3" w:rsidRDefault="000130F3" w:rsidP="000130F3">
            <w:pPr>
              <w:pStyle w:val="Prrafodelista"/>
              <w:numPr>
                <w:ilvl w:val="0"/>
                <w:numId w:val="37"/>
              </w:numPr>
              <w:tabs>
                <w:tab w:val="left" w:pos="1650"/>
              </w:tabs>
              <w:ind w:left="480"/>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 xml:space="preserve">84367,22 gramos de MDMA </w:t>
            </w:r>
          </w:p>
          <w:p w14:paraId="174B78AD" w14:textId="357BE3D8" w:rsidR="000130F3" w:rsidRPr="000130F3" w:rsidRDefault="000130F3" w:rsidP="000130F3">
            <w:pPr>
              <w:pStyle w:val="Prrafodelista"/>
              <w:numPr>
                <w:ilvl w:val="0"/>
                <w:numId w:val="37"/>
              </w:numPr>
              <w:tabs>
                <w:tab w:val="left" w:pos="1650"/>
              </w:tabs>
              <w:ind w:left="480"/>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147 dosis de ketamina</w:t>
            </w:r>
          </w:p>
          <w:p w14:paraId="45613267" w14:textId="73BA2DBD" w:rsidR="000130F3" w:rsidRPr="000130F3" w:rsidRDefault="000130F3" w:rsidP="000130F3">
            <w:pPr>
              <w:pStyle w:val="Prrafodelista"/>
              <w:numPr>
                <w:ilvl w:val="0"/>
                <w:numId w:val="37"/>
              </w:numPr>
              <w:tabs>
                <w:tab w:val="left" w:pos="1650"/>
              </w:tabs>
              <w:ind w:left="480"/>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 xml:space="preserve">102 dosis de LSD. </w:t>
            </w:r>
          </w:p>
          <w:p w14:paraId="3CD7840B" w14:textId="77777777" w:rsidR="000130F3" w:rsidRPr="000130F3" w:rsidRDefault="000130F3" w:rsidP="000130F3">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 xml:space="preserve"> En cuanto el dinero, se detalla: </w:t>
            </w:r>
          </w:p>
          <w:p w14:paraId="32F15FAE" w14:textId="671C48E9" w:rsidR="000130F3" w:rsidRPr="000130F3" w:rsidRDefault="000130F3" w:rsidP="000130F3">
            <w:pPr>
              <w:pStyle w:val="Prrafodelista"/>
              <w:numPr>
                <w:ilvl w:val="0"/>
                <w:numId w:val="39"/>
              </w:numPr>
              <w:tabs>
                <w:tab w:val="left" w:pos="1650"/>
              </w:tabs>
              <w:ind w:left="480"/>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 xml:space="preserve">¢105.893.445,0 millones de colones </w:t>
            </w:r>
          </w:p>
          <w:p w14:paraId="70F06D33" w14:textId="34376CE3" w:rsidR="000130F3" w:rsidRPr="000130F3" w:rsidRDefault="000130F3" w:rsidP="000130F3">
            <w:pPr>
              <w:pStyle w:val="Prrafodelista"/>
              <w:numPr>
                <w:ilvl w:val="0"/>
                <w:numId w:val="39"/>
              </w:numPr>
              <w:tabs>
                <w:tab w:val="left" w:pos="1650"/>
              </w:tabs>
              <w:ind w:left="480"/>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$ 54.404,0 dólares.</w:t>
            </w:r>
          </w:p>
          <w:p w14:paraId="529A394F" w14:textId="6AE3B7F4" w:rsidR="000130F3" w:rsidRPr="000130F3" w:rsidRDefault="000130F3" w:rsidP="000130F3">
            <w:pPr>
              <w:pStyle w:val="Prrafodelista"/>
              <w:numPr>
                <w:ilvl w:val="0"/>
                <w:numId w:val="39"/>
              </w:numPr>
              <w:tabs>
                <w:tab w:val="left" w:pos="1650"/>
              </w:tabs>
              <w:ind w:left="480"/>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€219,00 euros</w:t>
            </w:r>
          </w:p>
          <w:p w14:paraId="0195683D" w14:textId="77777777" w:rsidR="000130F3" w:rsidRPr="000130F3" w:rsidRDefault="000130F3" w:rsidP="000130F3">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Se decomisaron 79 vehículos, 21 lanchas, 77 armas de fuego.</w:t>
            </w:r>
          </w:p>
          <w:p w14:paraId="65F8A07A" w14:textId="5BCCAC26" w:rsidR="006D3EDA" w:rsidRDefault="000130F3" w:rsidP="000130F3">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r w:rsidRPr="000130F3">
              <w:rPr>
                <w:rFonts w:cs="Tahoma"/>
                <w:szCs w:val="16"/>
              </w:rPr>
              <w:t>Además, se inspeccionaron 34 contenedores contaminados con droga.</w:t>
            </w:r>
          </w:p>
          <w:p w14:paraId="3D3115E0" w14:textId="77777777" w:rsidR="000130F3" w:rsidRDefault="000130F3" w:rsidP="000130F3">
            <w:pPr>
              <w:tabs>
                <w:tab w:val="left" w:pos="1650"/>
              </w:tabs>
              <w:cnfStyle w:val="000000010000" w:firstRow="0" w:lastRow="0" w:firstColumn="0" w:lastColumn="0" w:oddVBand="0" w:evenVBand="0" w:oddHBand="0" w:evenHBand="1" w:firstRowFirstColumn="0" w:firstRowLastColumn="0" w:lastRowFirstColumn="0" w:lastRowLastColumn="0"/>
              <w:rPr>
                <w:rFonts w:cs="Tahoma"/>
                <w:szCs w:val="16"/>
              </w:rPr>
            </w:pPr>
          </w:p>
          <w:p w14:paraId="0E3145FC" w14:textId="77777777" w:rsidR="006D3EDA" w:rsidRDefault="006D3EDA" w:rsidP="005B79CC">
            <w:p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r w:rsidRPr="007B087D">
              <w:rPr>
                <w:rFonts w:cs="Tahoma"/>
                <w:b/>
                <w:szCs w:val="16"/>
              </w:rPr>
              <w:t xml:space="preserve">Factores que contribuyeron </w:t>
            </w:r>
            <w:r>
              <w:rPr>
                <w:rFonts w:cs="Tahoma"/>
                <w:b/>
                <w:szCs w:val="16"/>
              </w:rPr>
              <w:t xml:space="preserve">al cumplimiento </w:t>
            </w:r>
            <w:r w:rsidRPr="007B087D">
              <w:rPr>
                <w:rFonts w:cs="Tahoma"/>
                <w:b/>
                <w:szCs w:val="16"/>
              </w:rPr>
              <w:t>de la meta superior a 125%</w:t>
            </w:r>
          </w:p>
          <w:p w14:paraId="135689F9" w14:textId="1FA2D935" w:rsidR="006D3EDA" w:rsidRPr="007B087D" w:rsidRDefault="00604309" w:rsidP="005B79CC">
            <w:pPr>
              <w:tabs>
                <w:tab w:val="left" w:pos="1650"/>
              </w:tabs>
              <w:cnfStyle w:val="000000010000" w:firstRow="0" w:lastRow="0" w:firstColumn="0" w:lastColumn="0" w:oddVBand="0" w:evenVBand="0" w:oddHBand="0" w:evenHBand="1" w:firstRowFirstColumn="0" w:firstRowLastColumn="0" w:lastRowFirstColumn="0" w:lastRowLastColumn="0"/>
              <w:rPr>
                <w:rFonts w:cs="Tahoma"/>
                <w:b/>
                <w:szCs w:val="16"/>
              </w:rPr>
            </w:pPr>
            <w:r w:rsidRPr="00604309">
              <w:rPr>
                <w:rFonts w:cs="Tahoma"/>
                <w:szCs w:val="16"/>
              </w:rPr>
              <w:t>Los resultados positivos de la PCD fueron producto de un abordaje estratégico alineado con los instrumentos de planificación nacional. Este enfoque permitió implementar operaciones antidrogas efectivas, basadas en la recepción, análisis y uso de información para establecer líneas operativas que garantizaran el cumplimiento de los objetivos. Además, el esfuerzo sostenido por parte de esta Policía contribuyó a fortalecer la seguridad ciudadana y la salud pública, promoviendo un entorno más seguro para la ciudadanía. Por último, el trabajo conjunto y el intercambio de información entre las distintas fuerzas policiales del país ha sido de gran importancia para reflejar de manera positiva los resultados obtenidos en el año 2025.</w:t>
            </w:r>
          </w:p>
        </w:tc>
      </w:tr>
    </w:tbl>
    <w:p w14:paraId="34D288BE" w14:textId="1705A28C" w:rsidR="006D3EDA" w:rsidRDefault="006D3EDA" w:rsidP="006D3EDA">
      <w:pPr>
        <w:pStyle w:val="Default"/>
        <w:rPr>
          <w:rFonts w:ascii="Tahoma" w:eastAsia="Arial Narrow" w:hAnsi="Tahoma" w:cs="Tahoma"/>
          <w:sz w:val="16"/>
        </w:rPr>
      </w:pPr>
      <w:r>
        <w:rPr>
          <w:rFonts w:ascii="Tahoma" w:eastAsia="Arial Narrow" w:hAnsi="Tahoma" w:cs="Tahoma"/>
          <w:sz w:val="16"/>
        </w:rPr>
        <w:t xml:space="preserve"> </w:t>
      </w:r>
      <w:r w:rsidRPr="00462C13">
        <w:rPr>
          <w:rFonts w:ascii="Tahoma" w:eastAsia="Arial Narrow" w:hAnsi="Tahoma" w:cs="Tahoma"/>
          <w:sz w:val="16"/>
        </w:rPr>
        <w:t xml:space="preserve">Fuente: </w:t>
      </w:r>
      <w:r w:rsidRPr="00053B71">
        <w:rPr>
          <w:rFonts w:ascii="Tahoma" w:eastAsia="Arial Narrow" w:hAnsi="Tahoma" w:cs="Tahoma"/>
          <w:sz w:val="16"/>
        </w:rPr>
        <w:t>Dirección de la Policía Control de Drogas</w:t>
      </w:r>
      <w:r w:rsidRPr="00462C13">
        <w:rPr>
          <w:rFonts w:ascii="Tahoma" w:eastAsia="Arial Narrow" w:hAnsi="Tahoma" w:cs="Tahoma"/>
          <w:sz w:val="16"/>
        </w:rPr>
        <w:t>, Ministerio de Seguridad Pública, 202</w:t>
      </w:r>
      <w:r w:rsidR="00DD325F">
        <w:rPr>
          <w:rFonts w:ascii="Tahoma" w:eastAsia="Arial Narrow" w:hAnsi="Tahoma" w:cs="Tahoma"/>
          <w:sz w:val="16"/>
        </w:rPr>
        <w:t>6</w:t>
      </w:r>
      <w:r>
        <w:rPr>
          <w:rFonts w:ascii="Tahoma" w:eastAsia="Arial Narrow" w:hAnsi="Tahoma" w:cs="Tahoma"/>
          <w:sz w:val="16"/>
        </w:rPr>
        <w:t xml:space="preserve">.  </w:t>
      </w:r>
    </w:p>
    <w:p w14:paraId="0BD4B911" w14:textId="77777777" w:rsidR="006D3EDA" w:rsidRPr="00462C13" w:rsidRDefault="006D3EDA" w:rsidP="006D3EDA">
      <w:pPr>
        <w:pStyle w:val="Default"/>
        <w:rPr>
          <w:rFonts w:ascii="Tahoma" w:eastAsia="Arial Narrow" w:hAnsi="Tahoma" w:cs="Tahoma"/>
          <w:sz w:val="16"/>
        </w:rPr>
      </w:pPr>
      <w:r>
        <w:rPr>
          <w:rFonts w:ascii="Tahoma" w:hAnsi="Tahoma" w:cs="Tahoma"/>
          <w:sz w:val="16"/>
          <w:szCs w:val="22"/>
        </w:rPr>
        <w:t xml:space="preserve">            </w:t>
      </w:r>
    </w:p>
    <w:p w14:paraId="7ACC850F" w14:textId="77777777" w:rsidR="006D3EDA" w:rsidRDefault="006D3EDA" w:rsidP="006D3EDA">
      <w:pPr>
        <w:spacing w:after="0" w:line="240" w:lineRule="auto"/>
        <w:rPr>
          <w:rFonts w:cs="Tahoma"/>
          <w:b/>
          <w:sz w:val="24"/>
          <w:szCs w:val="20"/>
        </w:rPr>
      </w:pPr>
    </w:p>
    <w:tbl>
      <w:tblPr>
        <w:tblStyle w:val="Tablaclsica3"/>
        <w:tblW w:w="5000" w:type="pct"/>
        <w:jc w:val="center"/>
        <w:tblLook w:val="04A0" w:firstRow="1" w:lastRow="0" w:firstColumn="1" w:lastColumn="0" w:noHBand="0" w:noVBand="1"/>
      </w:tblPr>
      <w:tblGrid>
        <w:gridCol w:w="1263"/>
        <w:gridCol w:w="1821"/>
        <w:gridCol w:w="2167"/>
        <w:gridCol w:w="675"/>
        <w:gridCol w:w="924"/>
        <w:gridCol w:w="873"/>
        <w:gridCol w:w="1323"/>
        <w:gridCol w:w="1235"/>
        <w:gridCol w:w="1703"/>
        <w:gridCol w:w="1126"/>
        <w:gridCol w:w="1339"/>
        <w:gridCol w:w="7165"/>
      </w:tblGrid>
      <w:tr w:rsidR="006D3EDA" w:rsidRPr="00462C13" w14:paraId="55982453" w14:textId="77777777" w:rsidTr="0090336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94" w:type="pct"/>
            <w:vMerge w:val="restart"/>
            <w:tcBorders>
              <w:top w:val="single" w:sz="12" w:space="0" w:color="FFFFFF"/>
              <w:left w:val="single" w:sz="12" w:space="0" w:color="FFFFFF"/>
              <w:bottom w:val="single" w:sz="12" w:space="0" w:color="FFFFFF"/>
              <w:right w:val="single" w:sz="12" w:space="0" w:color="FFFFFF"/>
            </w:tcBorders>
            <w:shd w:val="clear" w:color="auto" w:fill="003A70"/>
          </w:tcPr>
          <w:p w14:paraId="13198005" w14:textId="77777777" w:rsidR="006D3EDA" w:rsidRPr="00462C13" w:rsidRDefault="006D3EDA" w:rsidP="005B79CC">
            <w:pPr>
              <w:rPr>
                <w:rFonts w:eastAsia="Arial Unicode MS" w:cs="Tahoma"/>
                <w:szCs w:val="16"/>
                <w:bdr w:val="none" w:sz="0" w:space="0" w:color="auto" w:frame="1"/>
              </w:rPr>
            </w:pPr>
            <w:r w:rsidRPr="00462C13">
              <w:rPr>
                <w:rFonts w:eastAsia="Arial Unicode MS" w:cs="Tahoma"/>
                <w:szCs w:val="16"/>
                <w:bdr w:val="none" w:sz="0" w:space="0" w:color="auto" w:frame="1"/>
              </w:rPr>
              <w:t xml:space="preserve">Objetivo </w:t>
            </w:r>
          </w:p>
        </w:tc>
        <w:tc>
          <w:tcPr>
            <w:tcW w:w="926" w:type="pct"/>
            <w:gridSpan w:val="2"/>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5451052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xml:space="preserve">Programación </w:t>
            </w:r>
          </w:p>
          <w:p w14:paraId="433E772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PNDIP 2023-2026</w:t>
            </w:r>
          </w:p>
        </w:tc>
        <w:tc>
          <w:tcPr>
            <w:tcW w:w="3780" w:type="pct"/>
            <w:gridSpan w:val="9"/>
            <w:tcBorders>
              <w:top w:val="single" w:sz="12" w:space="0" w:color="FFFFFF"/>
              <w:left w:val="single" w:sz="12" w:space="0" w:color="FFFFFF"/>
              <w:bottom w:val="single" w:sz="12" w:space="0" w:color="FFFFFF"/>
              <w:right w:val="single" w:sz="12" w:space="0" w:color="FFFFFF"/>
            </w:tcBorders>
            <w:shd w:val="clear" w:color="auto" w:fill="003A70"/>
          </w:tcPr>
          <w:p w14:paraId="4E6D63BD" w14:textId="53BABDFC"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224BD7">
              <w:rPr>
                <w:rFonts w:eastAsia="Arial Unicode MS" w:cs="Tahoma"/>
                <w:szCs w:val="16"/>
                <w:bdr w:val="none" w:sz="0" w:space="0" w:color="auto" w:frame="1"/>
              </w:rPr>
              <w:t xml:space="preserve">Seguimiento </w:t>
            </w:r>
            <w:r>
              <w:rPr>
                <w:rFonts w:eastAsia="Arial Unicode MS" w:cs="Tahoma"/>
                <w:szCs w:val="16"/>
                <w:bdr w:val="none" w:sz="0" w:space="0" w:color="auto" w:frame="1"/>
              </w:rPr>
              <w:t xml:space="preserve">Anual </w:t>
            </w:r>
            <w:r w:rsidRPr="00224BD7">
              <w:rPr>
                <w:rFonts w:eastAsia="Arial Unicode MS" w:cs="Tahoma"/>
                <w:szCs w:val="16"/>
                <w:bdr w:val="none" w:sz="0" w:space="0" w:color="auto" w:frame="1"/>
              </w:rPr>
              <w:t>202</w:t>
            </w:r>
            <w:r w:rsidR="004B4F07">
              <w:rPr>
                <w:rFonts w:eastAsia="Arial Unicode MS" w:cs="Tahoma"/>
                <w:szCs w:val="16"/>
                <w:bdr w:val="none" w:sz="0" w:space="0" w:color="auto" w:frame="1"/>
              </w:rPr>
              <w:t>5</w:t>
            </w:r>
          </w:p>
        </w:tc>
      </w:tr>
      <w:tr w:rsidR="00903362" w:rsidRPr="00462C13" w14:paraId="24F12D68" w14:textId="77777777" w:rsidTr="0090336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94" w:type="pct"/>
            <w:vMerge/>
            <w:tcBorders>
              <w:top w:val="single" w:sz="12" w:space="0" w:color="FFFFFF"/>
              <w:left w:val="single" w:sz="12" w:space="0" w:color="FFFFFF"/>
              <w:bottom w:val="single" w:sz="12" w:space="0" w:color="FFFFFF"/>
              <w:right w:val="single" w:sz="12" w:space="0" w:color="FFFFFF"/>
            </w:tcBorders>
            <w:shd w:val="clear" w:color="auto" w:fill="003A70"/>
            <w:hideMark/>
          </w:tcPr>
          <w:p w14:paraId="48B655C0" w14:textId="77777777" w:rsidR="006D3EDA" w:rsidRPr="00462C13" w:rsidRDefault="006D3EDA" w:rsidP="005B79CC">
            <w:pPr>
              <w:rPr>
                <w:rFonts w:eastAsia="Arial Unicode MS" w:cs="Tahoma"/>
                <w:szCs w:val="16"/>
                <w:bdr w:val="none" w:sz="0" w:space="0" w:color="auto" w:frame="1"/>
              </w:rPr>
            </w:pPr>
          </w:p>
        </w:tc>
        <w:tc>
          <w:tcPr>
            <w:tcW w:w="926" w:type="pct"/>
            <w:gridSpan w:val="2"/>
            <w:vMerge/>
            <w:tcBorders>
              <w:top w:val="single" w:sz="12" w:space="0" w:color="FFFFFF"/>
              <w:left w:val="single" w:sz="12" w:space="0" w:color="FFFFFF"/>
              <w:bottom w:val="single" w:sz="12" w:space="0" w:color="FFFFFF"/>
              <w:right w:val="single" w:sz="12" w:space="0" w:color="FFFFFF"/>
            </w:tcBorders>
            <w:shd w:val="clear" w:color="auto" w:fill="003A70"/>
            <w:hideMark/>
          </w:tcPr>
          <w:p w14:paraId="1604792D"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56" w:type="pct"/>
            <w:vMerge w:val="restart"/>
            <w:tcBorders>
              <w:top w:val="single" w:sz="12" w:space="0" w:color="FFFFFF"/>
              <w:left w:val="single" w:sz="12" w:space="0" w:color="FFFFFF"/>
              <w:right w:val="single" w:sz="12" w:space="0" w:color="FFFFFF"/>
            </w:tcBorders>
            <w:shd w:val="clear" w:color="auto" w:fill="003A70"/>
            <w:hideMark/>
          </w:tcPr>
          <w:p w14:paraId="44A95F55"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Meta Anual</w:t>
            </w:r>
          </w:p>
        </w:tc>
        <w:tc>
          <w:tcPr>
            <w:tcW w:w="214"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30BB0B42"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Absoluto</w:t>
            </w:r>
          </w:p>
        </w:tc>
        <w:tc>
          <w:tcPr>
            <w:tcW w:w="205" w:type="pct"/>
            <w:vMerge w:val="restart"/>
            <w:tcBorders>
              <w:top w:val="single" w:sz="12" w:space="0" w:color="FFFFFF"/>
              <w:left w:val="single" w:sz="12" w:space="0" w:color="FFFFFF"/>
              <w:right w:val="single" w:sz="12" w:space="0" w:color="FFFFFF"/>
            </w:tcBorders>
            <w:shd w:val="clear" w:color="auto" w:fill="003A70"/>
            <w:hideMark/>
          </w:tcPr>
          <w:p w14:paraId="12ABB27B"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de avance</w:t>
            </w:r>
          </w:p>
        </w:tc>
        <w:tc>
          <w:tcPr>
            <w:tcW w:w="989" w:type="pct"/>
            <w:gridSpan w:val="3"/>
            <w:tcBorders>
              <w:top w:val="single" w:sz="12" w:space="0" w:color="FFFFFF"/>
              <w:left w:val="single" w:sz="12" w:space="0" w:color="FFFFFF"/>
              <w:bottom w:val="single" w:sz="4" w:space="0" w:color="auto"/>
              <w:right w:val="single" w:sz="12" w:space="0" w:color="FFFFFF"/>
            </w:tcBorders>
            <w:shd w:val="clear" w:color="auto" w:fill="003A70"/>
          </w:tcPr>
          <w:p w14:paraId="5FEAC171" w14:textId="36A3403B"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Presupuesto 202</w:t>
            </w:r>
            <w:r w:rsidR="004B4F07">
              <w:rPr>
                <w:rFonts w:eastAsia="Arial Unicode MS" w:cs="Tahoma"/>
                <w:szCs w:val="16"/>
                <w:bdr w:val="none" w:sz="0" w:space="0" w:color="auto" w:frame="1"/>
              </w:rPr>
              <w:t>5</w:t>
            </w:r>
          </w:p>
        </w:tc>
        <w:tc>
          <w:tcPr>
            <w:tcW w:w="262" w:type="pct"/>
            <w:vMerge w:val="restart"/>
            <w:tcBorders>
              <w:top w:val="single" w:sz="12" w:space="0" w:color="FFFFFF"/>
              <w:left w:val="single" w:sz="12" w:space="0" w:color="FFFFFF"/>
              <w:right w:val="single" w:sz="12" w:space="0" w:color="FFFFFF"/>
            </w:tcBorders>
            <w:shd w:val="clear" w:color="auto" w:fill="003A70"/>
          </w:tcPr>
          <w:p w14:paraId="4C0C050F" w14:textId="77777777" w:rsidR="006D3EDA" w:rsidRPr="008E3CEF"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8E3CEF">
              <w:rPr>
                <w:rFonts w:eastAsia="Arial Unicode MS" w:cs="Tahoma"/>
                <w:szCs w:val="16"/>
                <w:bdr w:val="none" w:sz="0" w:space="0" w:color="auto" w:frame="1"/>
              </w:rPr>
              <w:t>Responsable</w:t>
            </w:r>
          </w:p>
        </w:tc>
        <w:tc>
          <w:tcPr>
            <w:tcW w:w="295"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042AF7B4"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BF3111">
              <w:rPr>
                <w:rFonts w:eastAsia="Arial Unicode MS" w:cs="Tahoma"/>
                <w:szCs w:val="16"/>
                <w:bdr w:val="none" w:sz="0" w:space="0" w:color="auto" w:frame="1"/>
              </w:rPr>
              <w:t>Clasificación de cumplimiento</w:t>
            </w:r>
          </w:p>
        </w:tc>
        <w:tc>
          <w:tcPr>
            <w:tcW w:w="1659"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7F6D7367" w14:textId="76855008" w:rsidR="006D3EDA" w:rsidRPr="00462C13" w:rsidRDefault="00886D49"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vertAlign w:val="superscript"/>
              </w:rPr>
            </w:pPr>
            <w:r>
              <w:rPr>
                <w:rFonts w:eastAsia="Arial Unicode MS" w:cs="Tahoma"/>
                <w:sz w:val="24"/>
                <w:szCs w:val="16"/>
                <w:bdr w:val="none" w:sz="0" w:space="0" w:color="auto" w:frame="1"/>
              </w:rPr>
              <w:t>Obstáculos</w:t>
            </w:r>
          </w:p>
        </w:tc>
      </w:tr>
      <w:tr w:rsidR="00903362" w:rsidRPr="00462C13" w14:paraId="38E5574A" w14:textId="77777777" w:rsidTr="0090336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94" w:type="pct"/>
            <w:vMerge/>
            <w:tcBorders>
              <w:top w:val="single" w:sz="12" w:space="0" w:color="FFFFFF"/>
              <w:left w:val="single" w:sz="12" w:space="0" w:color="FFFFFF"/>
              <w:bottom w:val="single" w:sz="12" w:space="0" w:color="FFFFFF"/>
              <w:right w:val="single" w:sz="12" w:space="0" w:color="FFFFFF"/>
            </w:tcBorders>
            <w:hideMark/>
          </w:tcPr>
          <w:p w14:paraId="5367B357" w14:textId="77777777" w:rsidR="006D3EDA" w:rsidRPr="00462C13" w:rsidRDefault="006D3EDA" w:rsidP="005B79CC">
            <w:pPr>
              <w:rPr>
                <w:rFonts w:eastAsia="Arial Unicode MS" w:cs="Tahoma"/>
                <w:szCs w:val="16"/>
                <w:bdr w:val="none" w:sz="0" w:space="0" w:color="auto" w:frame="1"/>
              </w:rPr>
            </w:pPr>
          </w:p>
        </w:tc>
        <w:tc>
          <w:tcPr>
            <w:tcW w:w="423" w:type="pct"/>
            <w:tcBorders>
              <w:top w:val="single" w:sz="12" w:space="0" w:color="FFFFFF"/>
              <w:left w:val="single" w:sz="12" w:space="0" w:color="FFFFFF"/>
              <w:bottom w:val="single" w:sz="12" w:space="0" w:color="FFFFFF"/>
              <w:right w:val="single" w:sz="12" w:space="0" w:color="FFFFFF"/>
            </w:tcBorders>
            <w:shd w:val="clear" w:color="auto" w:fill="003A70"/>
            <w:hideMark/>
          </w:tcPr>
          <w:p w14:paraId="4C57F229"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Indicadores</w:t>
            </w:r>
          </w:p>
        </w:tc>
        <w:tc>
          <w:tcPr>
            <w:tcW w:w="503" w:type="pct"/>
            <w:tcBorders>
              <w:top w:val="single" w:sz="12" w:space="0" w:color="FFFFFF"/>
              <w:left w:val="single" w:sz="12" w:space="0" w:color="FFFFFF"/>
              <w:bottom w:val="single" w:sz="12" w:space="0" w:color="FFFFFF"/>
              <w:right w:val="single" w:sz="12" w:space="0" w:color="FFFFFF"/>
            </w:tcBorders>
            <w:shd w:val="clear" w:color="auto" w:fill="003A70"/>
            <w:hideMark/>
          </w:tcPr>
          <w:p w14:paraId="64F1FBC3"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 xml:space="preserve">Metas Periodo </w:t>
            </w:r>
          </w:p>
        </w:tc>
        <w:tc>
          <w:tcPr>
            <w:tcW w:w="156" w:type="pct"/>
            <w:vMerge/>
            <w:tcBorders>
              <w:left w:val="single" w:sz="12" w:space="0" w:color="FFFFFF"/>
              <w:bottom w:val="single" w:sz="12" w:space="0" w:color="FFFFFF"/>
              <w:right w:val="single" w:sz="12" w:space="0" w:color="FFFFFF"/>
            </w:tcBorders>
            <w:hideMark/>
          </w:tcPr>
          <w:p w14:paraId="3254651F"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14" w:type="pct"/>
            <w:vMerge/>
            <w:tcBorders>
              <w:top w:val="single" w:sz="12" w:space="0" w:color="FFFFFF"/>
              <w:left w:val="single" w:sz="12" w:space="0" w:color="FFFFFF"/>
              <w:bottom w:val="single" w:sz="12" w:space="0" w:color="FFFFFF"/>
              <w:right w:val="single" w:sz="12" w:space="0" w:color="FFFFFF"/>
            </w:tcBorders>
            <w:shd w:val="clear" w:color="auto" w:fill="003366"/>
            <w:hideMark/>
          </w:tcPr>
          <w:p w14:paraId="6AB824B6"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05" w:type="pct"/>
            <w:vMerge/>
            <w:tcBorders>
              <w:left w:val="single" w:sz="12" w:space="0" w:color="FFFFFF"/>
              <w:bottom w:val="single" w:sz="12" w:space="0" w:color="FFFFFF"/>
              <w:right w:val="single" w:sz="12" w:space="0" w:color="FFFFFF"/>
            </w:tcBorders>
            <w:hideMark/>
          </w:tcPr>
          <w:p w14:paraId="35653AC7"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06" w:type="pct"/>
            <w:tcBorders>
              <w:left w:val="single" w:sz="12" w:space="0" w:color="FFFFFF"/>
              <w:bottom w:val="single" w:sz="12" w:space="0" w:color="FFFFFF"/>
              <w:right w:val="single" w:sz="12" w:space="0" w:color="FFFFFF"/>
            </w:tcBorders>
            <w:shd w:val="clear" w:color="auto" w:fill="003A70"/>
          </w:tcPr>
          <w:p w14:paraId="078CA3E9"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rPr>
            </w:pPr>
            <w:r w:rsidRPr="00650798">
              <w:rPr>
                <w:rFonts w:ascii="Arial" w:eastAsia="Arial Unicode MS" w:hAnsi="Arial" w:cs="Arial"/>
                <w:color w:val="auto"/>
                <w:szCs w:val="12"/>
                <w:bdr w:val="none" w:sz="0" w:space="0" w:color="auto" w:frame="1"/>
                <w:lang w:eastAsia="en-US"/>
              </w:rPr>
              <w:t>Presupuesto programado</w:t>
            </w:r>
          </w:p>
        </w:tc>
        <w:tc>
          <w:tcPr>
            <w:tcW w:w="286" w:type="pct"/>
            <w:tcBorders>
              <w:left w:val="single" w:sz="12" w:space="0" w:color="FFFFFF"/>
              <w:bottom w:val="single" w:sz="12" w:space="0" w:color="FFFFFF"/>
              <w:right w:val="single" w:sz="12" w:space="0" w:color="FFFFFF"/>
            </w:tcBorders>
            <w:shd w:val="clear" w:color="auto" w:fill="003A70"/>
          </w:tcPr>
          <w:p w14:paraId="3978DD4A"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Monto ejecutado</w:t>
            </w:r>
          </w:p>
        </w:tc>
        <w:tc>
          <w:tcPr>
            <w:tcW w:w="397" w:type="pct"/>
            <w:tcBorders>
              <w:left w:val="single" w:sz="12" w:space="0" w:color="FFFFFF"/>
              <w:bottom w:val="single" w:sz="12" w:space="0" w:color="FFFFFF"/>
              <w:right w:val="single" w:sz="12" w:space="0" w:color="FFFFFF"/>
            </w:tcBorders>
            <w:shd w:val="clear" w:color="auto" w:fill="003A70"/>
          </w:tcPr>
          <w:p w14:paraId="6CCE29D6"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Información cualitativa</w:t>
            </w:r>
          </w:p>
        </w:tc>
        <w:tc>
          <w:tcPr>
            <w:tcW w:w="262" w:type="pct"/>
            <w:vMerge/>
            <w:tcBorders>
              <w:left w:val="single" w:sz="12" w:space="0" w:color="FFFFFF"/>
              <w:bottom w:val="single" w:sz="12" w:space="0" w:color="FFFFFF"/>
              <w:right w:val="single" w:sz="12" w:space="0" w:color="FFFFFF"/>
            </w:tcBorders>
          </w:tcPr>
          <w:p w14:paraId="3C27DB4C" w14:textId="77777777" w:rsidR="006D3EDA" w:rsidRPr="008E3CEF"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95" w:type="pct"/>
            <w:vMerge/>
            <w:tcBorders>
              <w:top w:val="single" w:sz="12" w:space="0" w:color="FFFFFF"/>
              <w:left w:val="single" w:sz="12" w:space="0" w:color="FFFFFF"/>
              <w:bottom w:val="single" w:sz="12" w:space="0" w:color="FFFFFF"/>
              <w:right w:val="single" w:sz="12" w:space="0" w:color="FFFFFF"/>
            </w:tcBorders>
            <w:hideMark/>
          </w:tcPr>
          <w:p w14:paraId="6014C375"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659" w:type="pct"/>
            <w:vMerge/>
            <w:tcBorders>
              <w:top w:val="single" w:sz="12" w:space="0" w:color="FFFFFF"/>
              <w:left w:val="single" w:sz="12" w:space="0" w:color="FFFFFF"/>
              <w:bottom w:val="single" w:sz="12" w:space="0" w:color="FFFFFF"/>
              <w:right w:val="single" w:sz="12" w:space="0" w:color="FFFFFF"/>
            </w:tcBorders>
            <w:hideMark/>
          </w:tcPr>
          <w:p w14:paraId="179B38F9"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vertAlign w:val="superscript"/>
              </w:rPr>
            </w:pPr>
          </w:p>
        </w:tc>
      </w:tr>
      <w:tr w:rsidR="00903362" w:rsidRPr="00462C13" w14:paraId="7C350D67" w14:textId="77777777" w:rsidTr="0090336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1527983" w14:textId="77777777" w:rsidR="001F34B5" w:rsidRPr="00462C13" w:rsidRDefault="001F34B5" w:rsidP="001F34B5">
            <w:pPr>
              <w:jc w:val="both"/>
              <w:rPr>
                <w:rFonts w:cs="Tahoma"/>
                <w:szCs w:val="16"/>
              </w:rPr>
            </w:pPr>
            <w:r w:rsidRPr="00053B71">
              <w:rPr>
                <w:rFonts w:cs="Tahoma"/>
                <w:b/>
                <w:bCs w:val="0"/>
                <w:szCs w:val="16"/>
              </w:rPr>
              <w:t xml:space="preserve">7.1 </w:t>
            </w:r>
            <w:r w:rsidRPr="00053B71">
              <w:rPr>
                <w:rFonts w:cs="Tahoma"/>
                <w:szCs w:val="16"/>
              </w:rPr>
              <w:t>Combatir la criminalidad organizada a través de la desarticulación de sus estructuras, coadyuvando así a la mejora de la seguridad del país.</w:t>
            </w:r>
          </w:p>
        </w:tc>
        <w:tc>
          <w:tcPr>
            <w:tcW w:w="423"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40C894E" w14:textId="77777777" w:rsidR="001F34B5" w:rsidRPr="00053B71" w:rsidRDefault="001F34B5" w:rsidP="001F34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r w:rsidRPr="00053B71">
              <w:rPr>
                <w:rFonts w:cs="Tahoma"/>
                <w:b/>
                <w:bCs/>
                <w:szCs w:val="16"/>
              </w:rPr>
              <w:t>A.7.1.3</w:t>
            </w:r>
            <w:r w:rsidRPr="00053B71">
              <w:rPr>
                <w:rFonts w:cs="Tahoma"/>
                <w:szCs w:val="16"/>
              </w:rPr>
              <w:t xml:space="preserve"> Porcentaje acumulado de avance en las etapas y subetapas formulación, ejecución e implementación del Proyecto DNN: Un Esfuerzo Preventivo, de Prevención de Legitimación de Capitales, Financiamiento al Terrorismo y la Proliferación de Armas de Destrucción Masiva.</w:t>
            </w:r>
          </w:p>
          <w:p w14:paraId="4FFC52B2" w14:textId="77777777" w:rsidR="001F34B5" w:rsidRPr="00053B71" w:rsidRDefault="001F34B5" w:rsidP="001F34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b/>
                <w:bCs/>
                <w:szCs w:val="16"/>
              </w:rPr>
            </w:pPr>
          </w:p>
          <w:p w14:paraId="1DFD5CF2" w14:textId="1D852556" w:rsidR="001F34B5" w:rsidRPr="00462C13" w:rsidRDefault="001F34B5" w:rsidP="001F34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p>
        </w:tc>
        <w:tc>
          <w:tcPr>
            <w:tcW w:w="503"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0B18C4F0" w14:textId="77777777" w:rsidR="001F34B5" w:rsidRDefault="001F34B5" w:rsidP="001F34B5">
            <w:pPr>
              <w:jc w:val="left"/>
              <w:cnfStyle w:val="000000100000" w:firstRow="0" w:lastRow="0" w:firstColumn="0" w:lastColumn="0" w:oddVBand="0" w:evenVBand="0" w:oddHBand="1" w:evenHBand="0" w:firstRowFirstColumn="0" w:firstRowLastColumn="0" w:lastRowFirstColumn="0" w:lastRowLastColumn="0"/>
              <w:rPr>
                <w:rFonts w:cs="Tahoma"/>
                <w:szCs w:val="22"/>
              </w:rPr>
            </w:pPr>
            <w:r w:rsidRPr="00462C13">
              <w:rPr>
                <w:rFonts w:cs="Tahoma"/>
                <w:b/>
                <w:bCs/>
                <w:szCs w:val="22"/>
              </w:rPr>
              <w:t xml:space="preserve">2023-2026: </w:t>
            </w:r>
            <w:r w:rsidRPr="00462C13">
              <w:rPr>
                <w:rFonts w:cs="Tahoma"/>
                <w:szCs w:val="22"/>
              </w:rPr>
              <w:t>100%</w:t>
            </w:r>
            <w:r w:rsidRPr="00462C13">
              <w:rPr>
                <w:rFonts w:cs="Tahoma"/>
                <w:szCs w:val="22"/>
              </w:rPr>
              <w:br/>
            </w:r>
            <w:r w:rsidRPr="00462C13">
              <w:rPr>
                <w:rFonts w:cs="Tahoma"/>
                <w:szCs w:val="22"/>
              </w:rPr>
              <w:br/>
              <w:t>2024: 40%</w:t>
            </w:r>
            <w:r w:rsidRPr="00462C13">
              <w:rPr>
                <w:rFonts w:cs="Tahoma"/>
                <w:szCs w:val="22"/>
              </w:rPr>
              <w:br/>
              <w:t>Etapa 1: Análisis de Riesgos para el Sector Notarial (20%)</w:t>
            </w:r>
            <w:r w:rsidRPr="00462C13">
              <w:rPr>
                <w:rFonts w:cs="Tahoma"/>
                <w:szCs w:val="22"/>
              </w:rPr>
              <w:br/>
              <w:t>Etapa 2: Estrategia metodológica de sensibilización y capacitación (20%)</w:t>
            </w:r>
            <w:r w:rsidRPr="00462C13">
              <w:rPr>
                <w:rFonts w:cs="Tahoma"/>
                <w:szCs w:val="22"/>
              </w:rPr>
              <w:br/>
            </w:r>
            <w:r w:rsidRPr="00462C13">
              <w:rPr>
                <w:rFonts w:cs="Tahoma"/>
                <w:b/>
                <w:bCs/>
                <w:szCs w:val="22"/>
              </w:rPr>
              <w:t>Acumulado anual 40%</w:t>
            </w:r>
            <w:r w:rsidRPr="00462C13">
              <w:rPr>
                <w:rFonts w:cs="Tahoma"/>
                <w:szCs w:val="22"/>
              </w:rPr>
              <w:br/>
            </w:r>
            <w:r w:rsidRPr="00462C13">
              <w:rPr>
                <w:rFonts w:cs="Tahoma"/>
                <w:szCs w:val="22"/>
              </w:rPr>
              <w:br/>
              <w:t>2025: 30%</w:t>
            </w:r>
            <w:r w:rsidRPr="00462C13">
              <w:rPr>
                <w:rFonts w:cs="Tahoma"/>
                <w:szCs w:val="22"/>
              </w:rPr>
              <w:br/>
              <w:t>Etapa 2: Estrategia metodológica de sensibilización y capacitación (5%)</w:t>
            </w:r>
            <w:r w:rsidRPr="00462C13">
              <w:rPr>
                <w:rFonts w:cs="Tahoma"/>
                <w:szCs w:val="22"/>
              </w:rPr>
              <w:br/>
              <w:t>Etapa 3: Establecimiento de un Reporte ALA/CFT Notarial (25%)</w:t>
            </w:r>
          </w:p>
          <w:p w14:paraId="1BE36112" w14:textId="5047F1D8" w:rsidR="001F34B5" w:rsidRPr="00462C13" w:rsidRDefault="001F34B5" w:rsidP="001F34B5">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22"/>
              </w:rPr>
              <w:br/>
            </w:r>
            <w:r w:rsidRPr="00462C13">
              <w:rPr>
                <w:rFonts w:cs="Tahoma"/>
                <w:b/>
                <w:bCs/>
                <w:szCs w:val="22"/>
              </w:rPr>
              <w:t>Acumulado Anual: 70%</w:t>
            </w:r>
            <w:r w:rsidRPr="00462C13">
              <w:rPr>
                <w:rFonts w:cs="Tahoma"/>
                <w:szCs w:val="22"/>
              </w:rPr>
              <w:br/>
            </w:r>
            <w:r w:rsidRPr="00462C13">
              <w:rPr>
                <w:rFonts w:cs="Tahoma"/>
                <w:szCs w:val="22"/>
              </w:rPr>
              <w:br/>
              <w:t>2026: 30%</w:t>
            </w:r>
            <w:r w:rsidRPr="00462C13">
              <w:rPr>
                <w:rFonts w:cs="Tahoma"/>
                <w:szCs w:val="22"/>
              </w:rPr>
              <w:br/>
              <w:t>Etapa 2: Subetapa 5: Ejecución de la evaluación de la implementación del programa de capacitación 2024-2026. (5%)</w:t>
            </w:r>
            <w:r w:rsidRPr="00462C13">
              <w:rPr>
                <w:rFonts w:cs="Tahoma"/>
                <w:szCs w:val="22"/>
              </w:rPr>
              <w:br/>
              <w:t>Etapa 4: Plan para la implementación de una evaluación de impactos (25%)</w:t>
            </w:r>
            <w:r w:rsidRPr="00462C13">
              <w:rPr>
                <w:rFonts w:cs="Tahoma"/>
                <w:szCs w:val="22"/>
              </w:rPr>
              <w:br/>
            </w:r>
            <w:r w:rsidRPr="00462C13">
              <w:rPr>
                <w:rFonts w:cs="Tahoma"/>
                <w:b/>
                <w:bCs/>
                <w:szCs w:val="22"/>
              </w:rPr>
              <w:t>Acumulado Anual: 100%</w:t>
            </w:r>
          </w:p>
        </w:tc>
        <w:tc>
          <w:tcPr>
            <w:tcW w:w="15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D0FA901" w14:textId="11F0C70A" w:rsidR="001F34B5" w:rsidRPr="00F810A3" w:rsidRDefault="0038402B" w:rsidP="001F34B5">
            <w:pPr>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8"/>
                <w:highlight w:val="yellow"/>
                <w:bdr w:val="none" w:sz="0" w:space="0" w:color="auto" w:frame="1"/>
              </w:rPr>
            </w:pPr>
            <w:r w:rsidRPr="0038402B">
              <w:rPr>
                <w:rFonts w:cs="Tahoma"/>
                <w:bCs/>
                <w:szCs w:val="22"/>
              </w:rPr>
              <w:t>7</w:t>
            </w:r>
            <w:r w:rsidR="001F34B5" w:rsidRPr="0038402B">
              <w:rPr>
                <w:rFonts w:cs="Tahoma"/>
                <w:bCs/>
                <w:szCs w:val="22"/>
              </w:rPr>
              <w:t>0%</w:t>
            </w:r>
          </w:p>
        </w:tc>
        <w:tc>
          <w:tcPr>
            <w:tcW w:w="2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CD397C7" w14:textId="428FE68D" w:rsidR="001F34B5" w:rsidRPr="004C0619" w:rsidRDefault="00195071" w:rsidP="001F34B5">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4C0619">
              <w:rPr>
                <w:rFonts w:cs="Tahoma"/>
                <w:bCs/>
                <w:szCs w:val="22"/>
              </w:rPr>
              <w:t>55</w:t>
            </w:r>
            <w:r w:rsidR="001F34B5" w:rsidRPr="004C0619">
              <w:rPr>
                <w:rFonts w:cs="Tahoma"/>
                <w:bCs/>
                <w:szCs w:val="22"/>
              </w:rPr>
              <w:t>%</w:t>
            </w:r>
          </w:p>
        </w:tc>
        <w:tc>
          <w:tcPr>
            <w:tcW w:w="205"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C72966B" w14:textId="6B8C59E5" w:rsidR="001F34B5" w:rsidRPr="004C0619" w:rsidRDefault="008E0349" w:rsidP="001F34B5">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C0619">
              <w:rPr>
                <w:rFonts w:cs="Tahoma"/>
                <w:szCs w:val="16"/>
              </w:rPr>
              <w:t>78,57</w:t>
            </w:r>
            <w:r w:rsidR="001F34B5" w:rsidRPr="004C0619">
              <w:rPr>
                <w:rFonts w:cs="Tahoma"/>
                <w:szCs w:val="16"/>
              </w:rPr>
              <w:t>%</w:t>
            </w:r>
          </w:p>
        </w:tc>
        <w:tc>
          <w:tcPr>
            <w:tcW w:w="30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3015AA5" w14:textId="5117ED9C" w:rsidR="001F34B5" w:rsidRPr="00F810A3" w:rsidRDefault="002D4ACE" w:rsidP="001F34B5">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2D4ACE">
              <w:rPr>
                <w:rFonts w:cs="Tahoma"/>
                <w:szCs w:val="16"/>
              </w:rPr>
              <w:t>135.108.634,00</w:t>
            </w:r>
          </w:p>
        </w:tc>
        <w:tc>
          <w:tcPr>
            <w:tcW w:w="28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5FF2244" w14:textId="7D7E7127" w:rsidR="001F34B5" w:rsidRPr="00F810A3" w:rsidRDefault="001F003A" w:rsidP="001F34B5">
            <w:pPr>
              <w:cnfStyle w:val="000000100000" w:firstRow="0" w:lastRow="0" w:firstColumn="0" w:lastColumn="0" w:oddVBand="0" w:evenVBand="0" w:oddHBand="1" w:evenHBand="0" w:firstRowFirstColumn="0" w:firstRowLastColumn="0" w:lastRowFirstColumn="0" w:lastRowLastColumn="0"/>
              <w:rPr>
                <w:rFonts w:cs="Tahoma"/>
                <w:szCs w:val="16"/>
                <w:highlight w:val="yellow"/>
              </w:rPr>
            </w:pPr>
            <w:r w:rsidRPr="001F003A">
              <w:rPr>
                <w:rFonts w:cs="Tahoma"/>
                <w:szCs w:val="16"/>
              </w:rPr>
              <w:t>98.939.637,00</w:t>
            </w:r>
          </w:p>
        </w:tc>
        <w:tc>
          <w:tcPr>
            <w:tcW w:w="39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7D258A2" w14:textId="3D86E47A" w:rsidR="001F34B5" w:rsidRPr="00462C13" w:rsidRDefault="001F34B5" w:rsidP="001F34B5">
            <w:pPr>
              <w:cnfStyle w:val="000000100000" w:firstRow="0" w:lastRow="0" w:firstColumn="0" w:lastColumn="0" w:oddVBand="0" w:evenVBand="0" w:oddHBand="1" w:evenHBand="0" w:firstRowFirstColumn="0" w:firstRowLastColumn="0" w:lastRowFirstColumn="0" w:lastRowLastColumn="0"/>
              <w:rPr>
                <w:rFonts w:cs="Tahoma"/>
                <w:szCs w:val="16"/>
              </w:rPr>
            </w:pPr>
            <w:r w:rsidRPr="002730E0">
              <w:rPr>
                <w:rFonts w:cs="Tahoma"/>
                <w:b/>
                <w:szCs w:val="16"/>
              </w:rPr>
              <w:t>Sub ejecución:</w:t>
            </w:r>
            <w:r>
              <w:rPr>
                <w:rFonts w:cs="Tahoma"/>
                <w:szCs w:val="16"/>
              </w:rPr>
              <w:t xml:space="preserve"> </w:t>
            </w:r>
            <w:r w:rsidR="00630E4E" w:rsidRPr="00630E4E">
              <w:rPr>
                <w:rFonts w:cs="Tahoma"/>
                <w:szCs w:val="16"/>
              </w:rPr>
              <w:t>Se presentó una subejecución debido a que los recursos salariales correspondientes a siete plazas asignadas al proyecto no pudieron ejecutarse de manera inmediata, ya que fue necesario contar previamente con la aprobación del Servicio Civil, lo que impidió su ejecución total durante el periodo correspondiente.</w:t>
            </w:r>
          </w:p>
        </w:tc>
        <w:tc>
          <w:tcPr>
            <w:tcW w:w="262"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B9EEEBA" w14:textId="77777777" w:rsidR="001F34B5" w:rsidRPr="008E3CEF" w:rsidRDefault="001F34B5" w:rsidP="001F34B5">
            <w:pPr>
              <w:pStyle w:val="Default"/>
              <w:jc w:val="cente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8E3CEF">
              <w:rPr>
                <w:rFonts w:ascii="Tahoma" w:hAnsi="Tahoma" w:cs="Tahoma"/>
                <w:sz w:val="16"/>
                <w:szCs w:val="16"/>
              </w:rPr>
              <w:t xml:space="preserve">Dirección Nacional de Notariado </w:t>
            </w:r>
          </w:p>
          <w:p w14:paraId="1B395866" w14:textId="77777777" w:rsidR="001F34B5" w:rsidRPr="008E3CEF" w:rsidRDefault="001F34B5" w:rsidP="001F34B5">
            <w:pPr>
              <w:jc w:val="center"/>
              <w:cnfStyle w:val="000000100000" w:firstRow="0" w:lastRow="0" w:firstColumn="0" w:lastColumn="0" w:oddVBand="0" w:evenVBand="0" w:oddHBand="1" w:evenHBand="0" w:firstRowFirstColumn="0" w:firstRowLastColumn="0" w:lastRowFirstColumn="0" w:lastRowLastColumn="0"/>
              <w:rPr>
                <w:rFonts w:cs="Tahoma"/>
                <w:szCs w:val="16"/>
              </w:rPr>
            </w:pPr>
          </w:p>
        </w:tc>
        <w:tc>
          <w:tcPr>
            <w:tcW w:w="295" w:type="pct"/>
            <w:tcBorders>
              <w:top w:val="single" w:sz="12" w:space="0" w:color="FFFFFF"/>
              <w:left w:val="single" w:sz="12" w:space="0" w:color="FFFFFF"/>
              <w:bottom w:val="single" w:sz="12" w:space="0" w:color="FFFFFF"/>
              <w:right w:val="single" w:sz="12" w:space="0" w:color="FFFFFF"/>
            </w:tcBorders>
            <w:shd w:val="clear" w:color="auto" w:fill="FFFF00"/>
          </w:tcPr>
          <w:p w14:paraId="0200FA3B" w14:textId="3C9CAB8E" w:rsidR="001F34B5" w:rsidRPr="00462C13" w:rsidRDefault="001F34B5" w:rsidP="001F34B5">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C43FB6">
              <w:rPr>
                <w:rFonts w:cs="Tahoma"/>
                <w:b/>
                <w:szCs w:val="16"/>
              </w:rPr>
              <w:t xml:space="preserve">Cumplimiento </w:t>
            </w:r>
            <w:r w:rsidR="00886D49">
              <w:rPr>
                <w:rFonts w:cs="Tahoma"/>
                <w:b/>
                <w:szCs w:val="16"/>
              </w:rPr>
              <w:t>medio</w:t>
            </w:r>
          </w:p>
        </w:tc>
        <w:tc>
          <w:tcPr>
            <w:tcW w:w="1659"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A8C4D3F" w14:textId="77777777" w:rsidR="001F34B5" w:rsidRDefault="001F34B5" w:rsidP="001F34B5">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Logros </w:t>
            </w:r>
          </w:p>
          <w:p w14:paraId="5DB7D6ED" w14:textId="77777777" w:rsidR="00BF5BB0" w:rsidRPr="00BF5BB0" w:rsidRDefault="00BF5BB0"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BF5BB0">
              <w:rPr>
                <w:rFonts w:cs="Tahoma"/>
                <w:bCs/>
                <w:szCs w:val="16"/>
              </w:rPr>
              <w:t>Dentro de los factores que obstaculizaron (limitaciones) la ejecución de las subetapas 3, 4 y 5 de la etapa 3, denominada “Establecimiento de un Reporte ALA/CFT Notarial”, se destacan:</w:t>
            </w:r>
          </w:p>
          <w:p w14:paraId="70BD3183" w14:textId="77777777" w:rsidR="00BF5BB0" w:rsidRPr="00BF5BB0" w:rsidRDefault="00BF5BB0"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BF5BB0">
              <w:rPr>
                <w:rFonts w:cs="Tahoma"/>
                <w:bCs/>
                <w:szCs w:val="16"/>
              </w:rPr>
              <w:t>1. Tiempos para la aprobación de informes y demora en el uso de plazas:</w:t>
            </w:r>
          </w:p>
          <w:p w14:paraId="2521729E" w14:textId="77777777" w:rsidR="00BF5BB0" w:rsidRPr="00BF5BB0" w:rsidRDefault="00BF5BB0"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BF5BB0">
              <w:rPr>
                <w:rFonts w:cs="Tahoma"/>
                <w:bCs/>
                <w:szCs w:val="16"/>
              </w:rPr>
              <w:t>El proceso para que el Servicio Civil aprobara los informes necesarios y autorizara el uso de las plazas asignadas a la Unidad de Prevención requirió varios formalidades y revisiones técnicas. Estos tiempos administrativos generaron retrasos en la contratación del personal, lo cual representó un riesgo operativo para el cumplimiento de las metas del proyecto.</w:t>
            </w:r>
          </w:p>
          <w:p w14:paraId="0F36CCFA" w14:textId="77777777" w:rsidR="00BF5BB0" w:rsidRPr="00BF5BB0" w:rsidRDefault="00BF5BB0"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BF5BB0">
              <w:rPr>
                <w:rFonts w:cs="Tahoma"/>
                <w:bCs/>
                <w:szCs w:val="16"/>
              </w:rPr>
              <w:t>La demora en la autorización de las plazas por parte de la Dirección General de Servicio Civil afectó directamente el nombramiento del personal requerido. Como consecuencia, no fue posible incorporar a tiempo a los funcionarios necesarios, lo que provocó atrasos en el cumplimiento de las subetapas planificadas.</w:t>
            </w:r>
          </w:p>
          <w:p w14:paraId="4462416D" w14:textId="77777777" w:rsidR="00BF5BB0" w:rsidRPr="00BF5BB0" w:rsidRDefault="00BF5BB0"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BF5BB0">
              <w:rPr>
                <w:rFonts w:cs="Tahoma"/>
                <w:bCs/>
                <w:szCs w:val="16"/>
              </w:rPr>
              <w:t>El personal disponible resultó insuficiente para atender de manera oportuna y simultánea las actividades de análisis, coordinación interinstitucional, desarrollo de herramientas y seguimiento que eran indispensables para la adecuada ejecución del proyecto.</w:t>
            </w:r>
          </w:p>
          <w:p w14:paraId="0874CBB1" w14:textId="77777777" w:rsidR="00BF5BB0" w:rsidRPr="00BF5BB0" w:rsidRDefault="00BF5BB0"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BF5BB0">
              <w:rPr>
                <w:rFonts w:cs="Tahoma"/>
                <w:bCs/>
                <w:szCs w:val="16"/>
              </w:rPr>
              <w:t>2. Coordinación interinstitucional</w:t>
            </w:r>
          </w:p>
          <w:p w14:paraId="03B6F7A8" w14:textId="77777777" w:rsidR="00BF5BB0" w:rsidRPr="00BF5BB0" w:rsidRDefault="00BF5BB0"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BF5BB0">
              <w:rPr>
                <w:rFonts w:cs="Tahoma"/>
                <w:bCs/>
                <w:szCs w:val="16"/>
              </w:rPr>
              <w:t>Las subetapas 3, 4 y 5 del proyecto, relacionadas con la definición de mecanismos, así como con la implementación y puesta en marcha del Reporte ALA/CFT Notarial, requieren como condición previa la formalización de un Convenio de Cooperación entre la Dirección Nacional de Notariado (DNN) y el Instituto Costarricense sobre Drogas (ICD).</w:t>
            </w:r>
          </w:p>
          <w:p w14:paraId="1D479DE8" w14:textId="77777777" w:rsidR="00BF5BB0" w:rsidRPr="00BF5BB0" w:rsidRDefault="00BF5BB0"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5F8197C2" w14:textId="77777777" w:rsidR="00BF5BB0" w:rsidRPr="00BF5BB0" w:rsidRDefault="00BF5BB0"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BF5BB0">
              <w:rPr>
                <w:rFonts w:cs="Tahoma"/>
                <w:bCs/>
                <w:szCs w:val="16"/>
              </w:rPr>
              <w:t>El objetivo de este convenio es coordinar y ejecutar acciones técnicas, logísticas y formativas entre ambas instituciones para fortalecer el cumplimiento de los Estándares Internacionales del GAFI. Esto incluye apoyar el desarrollo y actualización de instrumentos para el cumplimiento de obligaciones, brindar capacitación a los Sujetos Obligados, y facilitar el acceso a herramientas tecnológicas necesarias para atender las medidas de rigurosidad que exigen dichos estándares, así como los procesos de evaluación mutua aplicados periódicamente al país.</w:t>
            </w:r>
          </w:p>
          <w:p w14:paraId="09A7DC73" w14:textId="77777777" w:rsidR="00BF5BB0" w:rsidRPr="00BF5BB0" w:rsidRDefault="00BF5BB0"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1F5FC19D" w14:textId="07C0DBA2" w:rsidR="004C0619" w:rsidRDefault="00BF5BB0"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BF5BB0">
              <w:rPr>
                <w:rFonts w:cs="Tahoma"/>
                <w:bCs/>
                <w:szCs w:val="16"/>
              </w:rPr>
              <w:t>La principal limitación identificada es que la aprobación final del convenio no depende únicamente de la DNN, sino también del ICD, lo que podría atrasar su puesta en marcha. Actualmente, el documento se encuentra en revisión por parte del área legal del ICD. Debido a esta dependencia de un tercero, esta situación se considera un riesgo operativo para el avance oportuno del proyecto.</w:t>
            </w:r>
          </w:p>
          <w:p w14:paraId="5AEEA11B" w14:textId="77777777" w:rsidR="00476C21" w:rsidRDefault="00476C21" w:rsidP="00BF5BB0">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p>
          <w:p w14:paraId="37936812" w14:textId="77777777" w:rsidR="004C0619" w:rsidRDefault="004C0619" w:rsidP="004C0619">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525019">
              <w:rPr>
                <w:rFonts w:cs="Tahoma"/>
                <w:b/>
                <w:szCs w:val="16"/>
              </w:rPr>
              <w:t>Lecciones aprendidas</w:t>
            </w:r>
          </w:p>
          <w:p w14:paraId="2B2E1570" w14:textId="77777777" w:rsidR="00476C21" w:rsidRPr="00476C21" w:rsidRDefault="00476C21" w:rsidP="00476C21">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476C21">
              <w:rPr>
                <w:rFonts w:cs="Tahoma"/>
                <w:szCs w:val="16"/>
              </w:rPr>
              <w:t>Importancia de anticipar los tiempos de aprobación externa</w:t>
            </w:r>
          </w:p>
          <w:p w14:paraId="21F9379D" w14:textId="77777777" w:rsidR="00476C21" w:rsidRPr="00476C21" w:rsidRDefault="00476C21" w:rsidP="00476C21">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476C21">
              <w:rPr>
                <w:rFonts w:cs="Tahoma"/>
                <w:szCs w:val="16"/>
              </w:rPr>
              <w:t>Los procesos que dependen de instancias externas, como el Servicio Civil, requieren una planificación más anticipada, considerando los plazos reales de revisión, aprobación y formalización, a fin de evitar retrasos en la ejecución de metas y recursos.</w:t>
            </w:r>
          </w:p>
          <w:p w14:paraId="70D75846" w14:textId="77777777" w:rsidR="00476C21" w:rsidRPr="00476C21" w:rsidRDefault="00476C21" w:rsidP="00476C21">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476C21">
              <w:rPr>
                <w:rFonts w:cs="Tahoma"/>
                <w:szCs w:val="16"/>
              </w:rPr>
              <w:t>Necesidad de fortalecer la planificación del recurso humano</w:t>
            </w:r>
          </w:p>
          <w:p w14:paraId="10627842" w14:textId="77777777" w:rsidR="00476C21" w:rsidRPr="00476C21" w:rsidRDefault="00476C21" w:rsidP="00476C21">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476C21">
              <w:rPr>
                <w:rFonts w:cs="Tahoma"/>
                <w:szCs w:val="16"/>
              </w:rPr>
              <w:t>La elaboración oportuna y eficiente de los informes requeridos para la aprobación de plazas es clave para garantizar la utilización efectiva del presupuesto y el cumplimiento de los objetivos institucionales.</w:t>
            </w:r>
          </w:p>
          <w:p w14:paraId="2CAC3526" w14:textId="77777777" w:rsidR="00476C21" w:rsidRPr="00476C21" w:rsidRDefault="00476C21" w:rsidP="00476C21">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476C21">
              <w:rPr>
                <w:rFonts w:cs="Tahoma"/>
                <w:szCs w:val="16"/>
              </w:rPr>
              <w:t>Gestión de riesgos asociados a la dependencia interinstitucional</w:t>
            </w:r>
          </w:p>
          <w:p w14:paraId="6511F01A" w14:textId="657FBCFB" w:rsidR="004C0619" w:rsidRPr="00F810A3" w:rsidRDefault="00476C21" w:rsidP="00476C21">
            <w:pPr>
              <w:tabs>
                <w:tab w:val="left" w:pos="1650"/>
              </w:tabs>
              <w:cnfStyle w:val="000000100000" w:firstRow="0" w:lastRow="0" w:firstColumn="0" w:lastColumn="0" w:oddVBand="0" w:evenVBand="0" w:oddHBand="1" w:evenHBand="0" w:firstRowFirstColumn="0" w:firstRowLastColumn="0" w:lastRowFirstColumn="0" w:lastRowLastColumn="0"/>
              <w:rPr>
                <w:rFonts w:cs="Tahoma"/>
                <w:bCs/>
                <w:szCs w:val="16"/>
              </w:rPr>
            </w:pPr>
            <w:r w:rsidRPr="00476C21">
              <w:rPr>
                <w:rFonts w:cs="Tahoma"/>
                <w:szCs w:val="16"/>
              </w:rPr>
              <w:t>Cuando la ejecución de actividades depende de otras instituciones, resulta fundamental identificar esta condición como un riesgo desde la etapa de planificación, incorporando medidas de mitigación y escenarios alternos.</w:t>
            </w:r>
          </w:p>
        </w:tc>
      </w:tr>
    </w:tbl>
    <w:p w14:paraId="0F169A3D" w14:textId="383D5705" w:rsidR="006D3EDA" w:rsidRPr="00462C13" w:rsidRDefault="006D3EDA" w:rsidP="006D3EDA">
      <w:pPr>
        <w:pStyle w:val="Default"/>
        <w:rPr>
          <w:rFonts w:ascii="Tahoma" w:eastAsia="Arial Narrow" w:hAnsi="Tahoma" w:cs="Tahoma"/>
          <w:sz w:val="16"/>
        </w:rPr>
      </w:pPr>
      <w:r w:rsidRPr="00462C13">
        <w:rPr>
          <w:rFonts w:ascii="Tahoma" w:eastAsia="Arial Narrow" w:hAnsi="Tahoma" w:cs="Tahoma"/>
          <w:sz w:val="16"/>
        </w:rPr>
        <w:t xml:space="preserve">Fuente: </w:t>
      </w:r>
      <w:r w:rsidRPr="00462C13">
        <w:rPr>
          <w:rFonts w:ascii="Tahoma" w:hAnsi="Tahoma" w:cs="Tahoma"/>
          <w:sz w:val="16"/>
          <w:szCs w:val="22"/>
        </w:rPr>
        <w:t>Dirección Nacional de Notariado</w:t>
      </w:r>
      <w:r>
        <w:rPr>
          <w:rFonts w:ascii="Tahoma" w:hAnsi="Tahoma" w:cs="Tahoma"/>
          <w:sz w:val="16"/>
          <w:szCs w:val="22"/>
        </w:rPr>
        <w:t>, 202</w:t>
      </w:r>
      <w:r w:rsidR="008E0349">
        <w:rPr>
          <w:rFonts w:ascii="Tahoma" w:hAnsi="Tahoma" w:cs="Tahoma"/>
          <w:sz w:val="16"/>
          <w:szCs w:val="22"/>
        </w:rPr>
        <w:t>6</w:t>
      </w:r>
      <w:r>
        <w:rPr>
          <w:rFonts w:ascii="Tahoma" w:hAnsi="Tahoma" w:cs="Tahoma"/>
          <w:sz w:val="16"/>
          <w:szCs w:val="22"/>
        </w:rPr>
        <w:t xml:space="preserve">. </w:t>
      </w:r>
    </w:p>
    <w:p w14:paraId="7127E189" w14:textId="77777777" w:rsidR="006D3EDA" w:rsidRDefault="006D3EDA" w:rsidP="006D3EDA">
      <w:pPr>
        <w:spacing w:after="0" w:line="240" w:lineRule="auto"/>
        <w:rPr>
          <w:rFonts w:cs="Tahoma"/>
          <w:b/>
          <w:sz w:val="24"/>
          <w:szCs w:val="20"/>
        </w:rPr>
      </w:pPr>
    </w:p>
    <w:p w14:paraId="6E30F607" w14:textId="77777777" w:rsidR="00903362" w:rsidRDefault="00903362" w:rsidP="006D3EDA">
      <w:pPr>
        <w:spacing w:after="0" w:line="240" w:lineRule="auto"/>
        <w:rPr>
          <w:rFonts w:cs="Tahoma"/>
          <w:b/>
          <w:sz w:val="24"/>
          <w:szCs w:val="20"/>
        </w:rPr>
      </w:pPr>
    </w:p>
    <w:p w14:paraId="21157765" w14:textId="77777777" w:rsidR="00903362" w:rsidRDefault="00903362" w:rsidP="006D3EDA">
      <w:pPr>
        <w:spacing w:after="0" w:line="240" w:lineRule="auto"/>
        <w:rPr>
          <w:rFonts w:cs="Tahoma"/>
          <w:b/>
          <w:sz w:val="24"/>
          <w:szCs w:val="20"/>
        </w:rPr>
      </w:pPr>
    </w:p>
    <w:p w14:paraId="134EEA14" w14:textId="77777777" w:rsidR="00903362" w:rsidRDefault="00903362" w:rsidP="006D3EDA">
      <w:pPr>
        <w:spacing w:after="0" w:line="240" w:lineRule="auto"/>
        <w:rPr>
          <w:rFonts w:cs="Tahoma"/>
          <w:b/>
          <w:sz w:val="24"/>
          <w:szCs w:val="20"/>
        </w:rPr>
      </w:pPr>
    </w:p>
    <w:p w14:paraId="4A014797" w14:textId="77777777" w:rsidR="00903362" w:rsidRDefault="00903362" w:rsidP="006D3EDA">
      <w:pPr>
        <w:spacing w:after="0" w:line="240" w:lineRule="auto"/>
        <w:rPr>
          <w:rFonts w:cs="Tahoma"/>
          <w:b/>
          <w:sz w:val="24"/>
          <w:szCs w:val="20"/>
        </w:rPr>
      </w:pPr>
    </w:p>
    <w:p w14:paraId="47826AF0" w14:textId="77777777" w:rsidR="006D3EDA" w:rsidRPr="00462C13" w:rsidRDefault="006D3EDA" w:rsidP="006D3EDA">
      <w:pPr>
        <w:pStyle w:val="Ttulo2"/>
        <w:rPr>
          <w:rFonts w:cs="Tahoma"/>
        </w:rPr>
      </w:pPr>
      <w:bookmarkStart w:id="46" w:name="_Toc189055701"/>
      <w:bookmarkStart w:id="47" w:name="_Toc220401627"/>
      <w:r w:rsidRPr="00462C13">
        <w:rPr>
          <w:rFonts w:cs="Tahoma"/>
        </w:rPr>
        <w:lastRenderedPageBreak/>
        <w:t xml:space="preserve">Intervención Pública 8: Estrategia de Protección efectiva, acceso real, debida diligencia y no </w:t>
      </w:r>
      <w:proofErr w:type="spellStart"/>
      <w:r w:rsidRPr="00462C13">
        <w:rPr>
          <w:rFonts w:cs="Tahoma"/>
        </w:rPr>
        <w:t>re-victimización</w:t>
      </w:r>
      <w:proofErr w:type="spellEnd"/>
      <w:r w:rsidRPr="00462C13">
        <w:rPr>
          <w:rFonts w:cs="Tahoma"/>
        </w:rPr>
        <w:t xml:space="preserve"> a mujeres víctimas de violencia de género.</w:t>
      </w:r>
      <w:bookmarkEnd w:id="46"/>
      <w:bookmarkEnd w:id="47"/>
    </w:p>
    <w:p w14:paraId="3F967848" w14:textId="22A67CE2" w:rsidR="006D3EDA" w:rsidRDefault="006D3EDA" w:rsidP="006D3EDA">
      <w:pPr>
        <w:pStyle w:val="Default"/>
        <w:ind w:left="-142"/>
        <w:rPr>
          <w:rFonts w:ascii="Tahoma" w:eastAsia="Arial Narrow" w:hAnsi="Tahoma" w:cs="Tahoma"/>
          <w:sz w:val="16"/>
        </w:rPr>
      </w:pPr>
      <w:r w:rsidRPr="00462C13">
        <w:rPr>
          <w:rFonts w:ascii="Tahoma" w:eastAsia="Arial Narrow" w:hAnsi="Tahoma" w:cs="Tahoma"/>
          <w:sz w:val="16"/>
        </w:rPr>
        <w:t xml:space="preserve"> </w:t>
      </w:r>
    </w:p>
    <w:tbl>
      <w:tblPr>
        <w:tblStyle w:val="Tablaclsica3"/>
        <w:tblW w:w="5000" w:type="pct"/>
        <w:jc w:val="center"/>
        <w:tblLook w:val="04A0" w:firstRow="1" w:lastRow="0" w:firstColumn="1" w:lastColumn="0" w:noHBand="0" w:noVBand="1"/>
      </w:tblPr>
      <w:tblGrid>
        <w:gridCol w:w="1361"/>
        <w:gridCol w:w="1759"/>
        <w:gridCol w:w="1202"/>
        <w:gridCol w:w="1042"/>
        <w:gridCol w:w="925"/>
        <w:gridCol w:w="1046"/>
        <w:gridCol w:w="1444"/>
        <w:gridCol w:w="1327"/>
        <w:gridCol w:w="1500"/>
        <w:gridCol w:w="1280"/>
        <w:gridCol w:w="1418"/>
        <w:gridCol w:w="7310"/>
      </w:tblGrid>
      <w:tr w:rsidR="006D3EDA" w:rsidRPr="00462C13" w14:paraId="67D5A91D" w14:textId="77777777" w:rsidTr="0065079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15" w:type="pct"/>
            <w:vMerge w:val="restart"/>
            <w:tcBorders>
              <w:top w:val="single" w:sz="12" w:space="0" w:color="FFFFFF"/>
              <w:left w:val="single" w:sz="12" w:space="0" w:color="FFFFFF"/>
              <w:bottom w:val="single" w:sz="12" w:space="0" w:color="FFFFFF"/>
              <w:right w:val="single" w:sz="12" w:space="0" w:color="FFFFFF"/>
            </w:tcBorders>
            <w:shd w:val="clear" w:color="auto" w:fill="003A70"/>
          </w:tcPr>
          <w:p w14:paraId="0A914597" w14:textId="77777777" w:rsidR="006D3EDA" w:rsidRPr="00462C13" w:rsidRDefault="006D3EDA" w:rsidP="005B79CC">
            <w:pPr>
              <w:rPr>
                <w:rFonts w:eastAsia="Arial Unicode MS" w:cs="Tahoma"/>
                <w:szCs w:val="16"/>
                <w:bdr w:val="none" w:sz="0" w:space="0" w:color="auto" w:frame="1"/>
              </w:rPr>
            </w:pPr>
            <w:r w:rsidRPr="00462C13">
              <w:rPr>
                <w:rFonts w:eastAsia="Arial Unicode MS" w:cs="Tahoma"/>
                <w:szCs w:val="16"/>
                <w:bdr w:val="none" w:sz="0" w:space="0" w:color="auto" w:frame="1"/>
              </w:rPr>
              <w:t xml:space="preserve">Objetivo </w:t>
            </w:r>
          </w:p>
        </w:tc>
        <w:tc>
          <w:tcPr>
            <w:tcW w:w="685" w:type="pct"/>
            <w:gridSpan w:val="2"/>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022766C2"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 xml:space="preserve">Programación </w:t>
            </w:r>
          </w:p>
          <w:p w14:paraId="3C9DDD18"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PNDIP 2023-2026</w:t>
            </w:r>
          </w:p>
        </w:tc>
        <w:tc>
          <w:tcPr>
            <w:tcW w:w="4000" w:type="pct"/>
            <w:gridSpan w:val="9"/>
            <w:tcBorders>
              <w:top w:val="single" w:sz="12" w:space="0" w:color="FFFFFF"/>
              <w:left w:val="single" w:sz="12" w:space="0" w:color="FFFFFF"/>
              <w:bottom w:val="single" w:sz="12" w:space="0" w:color="FFFFFF"/>
              <w:right w:val="single" w:sz="12" w:space="0" w:color="FFFFFF"/>
            </w:tcBorders>
            <w:shd w:val="clear" w:color="auto" w:fill="003A70"/>
          </w:tcPr>
          <w:p w14:paraId="0F37B98A" w14:textId="1EB78CD8"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224BD7">
              <w:rPr>
                <w:rFonts w:eastAsia="Arial Unicode MS" w:cs="Tahoma"/>
                <w:szCs w:val="16"/>
                <w:bdr w:val="none" w:sz="0" w:space="0" w:color="auto" w:frame="1"/>
              </w:rPr>
              <w:t xml:space="preserve">Seguimiento </w:t>
            </w:r>
            <w:r>
              <w:rPr>
                <w:rFonts w:eastAsia="Arial Unicode MS" w:cs="Tahoma"/>
                <w:szCs w:val="16"/>
                <w:bdr w:val="none" w:sz="0" w:space="0" w:color="auto" w:frame="1"/>
              </w:rPr>
              <w:t xml:space="preserve">Anual </w:t>
            </w:r>
            <w:r w:rsidRPr="00224BD7">
              <w:rPr>
                <w:rFonts w:eastAsia="Arial Unicode MS" w:cs="Tahoma"/>
                <w:szCs w:val="16"/>
                <w:bdr w:val="none" w:sz="0" w:space="0" w:color="auto" w:frame="1"/>
              </w:rPr>
              <w:t>202</w:t>
            </w:r>
            <w:r w:rsidR="004B4F07">
              <w:rPr>
                <w:rFonts w:eastAsia="Arial Unicode MS" w:cs="Tahoma"/>
                <w:szCs w:val="16"/>
                <w:bdr w:val="none" w:sz="0" w:space="0" w:color="auto" w:frame="1"/>
              </w:rPr>
              <w:t>5</w:t>
            </w:r>
          </w:p>
        </w:tc>
      </w:tr>
      <w:tr w:rsidR="00650798" w:rsidRPr="00462C13" w14:paraId="7B02BC93" w14:textId="77777777" w:rsidTr="0065079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15" w:type="pct"/>
            <w:vMerge/>
            <w:tcBorders>
              <w:top w:val="single" w:sz="12" w:space="0" w:color="FFFFFF"/>
              <w:left w:val="single" w:sz="12" w:space="0" w:color="FFFFFF"/>
              <w:bottom w:val="single" w:sz="12" w:space="0" w:color="FFFFFF"/>
              <w:right w:val="single" w:sz="12" w:space="0" w:color="FFFFFF"/>
            </w:tcBorders>
            <w:shd w:val="clear" w:color="auto" w:fill="003A70"/>
            <w:hideMark/>
          </w:tcPr>
          <w:p w14:paraId="0AC5B067" w14:textId="77777777" w:rsidR="006D3EDA" w:rsidRPr="00462C13" w:rsidRDefault="006D3EDA" w:rsidP="005B79CC">
            <w:pPr>
              <w:rPr>
                <w:rFonts w:eastAsia="Arial Unicode MS" w:cs="Tahoma"/>
                <w:szCs w:val="16"/>
                <w:bdr w:val="none" w:sz="0" w:space="0" w:color="auto" w:frame="1"/>
              </w:rPr>
            </w:pPr>
          </w:p>
        </w:tc>
        <w:tc>
          <w:tcPr>
            <w:tcW w:w="685" w:type="pct"/>
            <w:gridSpan w:val="2"/>
            <w:vMerge/>
            <w:tcBorders>
              <w:top w:val="single" w:sz="12" w:space="0" w:color="FFFFFF"/>
              <w:left w:val="single" w:sz="12" w:space="0" w:color="FFFFFF"/>
              <w:bottom w:val="single" w:sz="12" w:space="0" w:color="FFFFFF"/>
              <w:right w:val="single" w:sz="12" w:space="0" w:color="FFFFFF"/>
            </w:tcBorders>
            <w:shd w:val="clear" w:color="auto" w:fill="003A70"/>
            <w:hideMark/>
          </w:tcPr>
          <w:p w14:paraId="5D0D245A"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41" w:type="pct"/>
            <w:vMerge w:val="restart"/>
            <w:tcBorders>
              <w:top w:val="single" w:sz="12" w:space="0" w:color="FFFFFF"/>
              <w:left w:val="single" w:sz="12" w:space="0" w:color="FFFFFF"/>
              <w:right w:val="single" w:sz="12" w:space="0" w:color="FFFFFF"/>
            </w:tcBorders>
            <w:shd w:val="clear" w:color="auto" w:fill="003A70"/>
            <w:hideMark/>
          </w:tcPr>
          <w:p w14:paraId="5C386EBB"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Meta Anual</w:t>
            </w:r>
          </w:p>
        </w:tc>
        <w:tc>
          <w:tcPr>
            <w:tcW w:w="214"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7BFCD432"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Absoluto</w:t>
            </w:r>
          </w:p>
        </w:tc>
        <w:tc>
          <w:tcPr>
            <w:tcW w:w="242" w:type="pct"/>
            <w:vMerge w:val="restart"/>
            <w:tcBorders>
              <w:top w:val="single" w:sz="12" w:space="0" w:color="FFFFFF"/>
              <w:left w:val="single" w:sz="12" w:space="0" w:color="FFFFFF"/>
              <w:right w:val="single" w:sz="12" w:space="0" w:color="FFFFFF"/>
            </w:tcBorders>
            <w:shd w:val="clear" w:color="auto" w:fill="003A70"/>
            <w:hideMark/>
          </w:tcPr>
          <w:p w14:paraId="2D658152" w14:textId="77777777" w:rsidR="006D3EDA" w:rsidRPr="00650798"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650798">
              <w:rPr>
                <w:rFonts w:eastAsia="Arial Unicode MS" w:cs="Tahoma"/>
                <w:szCs w:val="16"/>
                <w:bdr w:val="none" w:sz="0" w:space="0" w:color="auto" w:frame="1"/>
              </w:rPr>
              <w:t>% de avance</w:t>
            </w:r>
          </w:p>
        </w:tc>
        <w:tc>
          <w:tcPr>
            <w:tcW w:w="988" w:type="pct"/>
            <w:gridSpan w:val="3"/>
            <w:tcBorders>
              <w:top w:val="single" w:sz="12" w:space="0" w:color="FFFFFF"/>
              <w:left w:val="single" w:sz="12" w:space="0" w:color="FFFFFF"/>
              <w:bottom w:val="single" w:sz="4" w:space="0" w:color="auto"/>
              <w:right w:val="single" w:sz="12" w:space="0" w:color="FFFFFF"/>
            </w:tcBorders>
            <w:shd w:val="clear" w:color="auto" w:fill="003A70"/>
          </w:tcPr>
          <w:p w14:paraId="2A1EE3B5" w14:textId="437D4152" w:rsidR="006D3EDA" w:rsidRPr="00650798"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650798">
              <w:rPr>
                <w:rFonts w:eastAsia="Arial Unicode MS" w:cs="Tahoma"/>
                <w:szCs w:val="16"/>
                <w:bdr w:val="none" w:sz="0" w:space="0" w:color="auto" w:frame="1"/>
              </w:rPr>
              <w:t>Presupuesto 202</w:t>
            </w:r>
            <w:r w:rsidR="004B4F07" w:rsidRPr="00650798">
              <w:rPr>
                <w:rFonts w:eastAsia="Arial Unicode MS" w:cs="Tahoma"/>
                <w:szCs w:val="16"/>
                <w:bdr w:val="none" w:sz="0" w:space="0" w:color="auto" w:frame="1"/>
              </w:rPr>
              <w:t>5</w:t>
            </w:r>
          </w:p>
        </w:tc>
        <w:tc>
          <w:tcPr>
            <w:tcW w:w="296" w:type="pct"/>
            <w:vMerge w:val="restart"/>
            <w:tcBorders>
              <w:top w:val="single" w:sz="12" w:space="0" w:color="FFFFFF"/>
              <w:left w:val="single" w:sz="12" w:space="0" w:color="FFFFFF"/>
              <w:right w:val="single" w:sz="12" w:space="0" w:color="FFFFFF"/>
            </w:tcBorders>
            <w:shd w:val="clear" w:color="auto" w:fill="003A70"/>
          </w:tcPr>
          <w:p w14:paraId="7E126414"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462C13">
              <w:rPr>
                <w:rFonts w:eastAsia="Arial Unicode MS" w:cs="Tahoma"/>
                <w:szCs w:val="16"/>
                <w:bdr w:val="none" w:sz="0" w:space="0" w:color="auto" w:frame="1"/>
              </w:rPr>
              <w:t>Responsable</w:t>
            </w:r>
          </w:p>
        </w:tc>
        <w:tc>
          <w:tcPr>
            <w:tcW w:w="328"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22963E7D"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BF3111">
              <w:rPr>
                <w:rFonts w:eastAsia="Arial Unicode MS" w:cs="Tahoma"/>
                <w:szCs w:val="16"/>
                <w:bdr w:val="none" w:sz="0" w:space="0" w:color="auto" w:frame="1"/>
              </w:rPr>
              <w:t>Clasificación de cumplimiento</w:t>
            </w:r>
          </w:p>
        </w:tc>
        <w:tc>
          <w:tcPr>
            <w:tcW w:w="1691" w:type="pct"/>
            <w:vMerge w:val="restart"/>
            <w:tcBorders>
              <w:top w:val="single" w:sz="12" w:space="0" w:color="FFFFFF"/>
              <w:left w:val="single" w:sz="12" w:space="0" w:color="FFFFFF"/>
              <w:bottom w:val="single" w:sz="12" w:space="0" w:color="FFFFFF"/>
              <w:right w:val="single" w:sz="12" w:space="0" w:color="FFFFFF"/>
            </w:tcBorders>
            <w:shd w:val="clear" w:color="auto" w:fill="003A70"/>
            <w:hideMark/>
          </w:tcPr>
          <w:p w14:paraId="78E8188C"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vertAlign w:val="superscript"/>
              </w:rPr>
            </w:pPr>
            <w:r w:rsidRPr="007B087D">
              <w:rPr>
                <w:rFonts w:eastAsia="Arial Unicode MS" w:cs="Tahoma"/>
                <w:sz w:val="24"/>
                <w:szCs w:val="16"/>
                <w:bdr w:val="none" w:sz="0" w:space="0" w:color="auto" w:frame="1"/>
              </w:rPr>
              <w:t xml:space="preserve">Logros </w:t>
            </w:r>
          </w:p>
        </w:tc>
      </w:tr>
      <w:tr w:rsidR="00650798" w:rsidRPr="00462C13" w14:paraId="3B272355" w14:textId="77777777" w:rsidTr="0065079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15" w:type="pct"/>
            <w:vMerge/>
            <w:tcBorders>
              <w:top w:val="single" w:sz="12" w:space="0" w:color="FFFFFF"/>
              <w:left w:val="single" w:sz="12" w:space="0" w:color="FFFFFF"/>
              <w:bottom w:val="single" w:sz="12" w:space="0" w:color="FFFFFF"/>
              <w:right w:val="single" w:sz="12" w:space="0" w:color="FFFFFF"/>
            </w:tcBorders>
            <w:hideMark/>
          </w:tcPr>
          <w:p w14:paraId="33094E36" w14:textId="77777777" w:rsidR="006D3EDA" w:rsidRPr="00462C13" w:rsidRDefault="006D3EDA" w:rsidP="005B79CC">
            <w:pPr>
              <w:rPr>
                <w:rFonts w:eastAsia="Arial Unicode MS" w:cs="Tahoma"/>
                <w:szCs w:val="16"/>
                <w:bdr w:val="none" w:sz="0" w:space="0" w:color="auto" w:frame="1"/>
              </w:rPr>
            </w:pPr>
          </w:p>
        </w:tc>
        <w:tc>
          <w:tcPr>
            <w:tcW w:w="407" w:type="pct"/>
            <w:tcBorders>
              <w:top w:val="single" w:sz="12" w:space="0" w:color="FFFFFF"/>
              <w:left w:val="single" w:sz="12" w:space="0" w:color="FFFFFF"/>
              <w:bottom w:val="single" w:sz="12" w:space="0" w:color="FFFFFF"/>
              <w:right w:val="single" w:sz="12" w:space="0" w:color="FFFFFF"/>
            </w:tcBorders>
            <w:shd w:val="clear" w:color="auto" w:fill="003A70"/>
            <w:hideMark/>
          </w:tcPr>
          <w:p w14:paraId="070A3C5F" w14:textId="77777777" w:rsidR="006D3EDA" w:rsidRPr="00462C13" w:rsidRDefault="006D3EDA" w:rsidP="005B79CC">
            <w:pPr>
              <w:ind w:left="-108" w:right="-108"/>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Indicadores</w:t>
            </w:r>
          </w:p>
        </w:tc>
        <w:tc>
          <w:tcPr>
            <w:tcW w:w="278" w:type="pct"/>
            <w:tcBorders>
              <w:top w:val="single" w:sz="12" w:space="0" w:color="FFFFFF"/>
              <w:left w:val="single" w:sz="12" w:space="0" w:color="FFFFFF"/>
              <w:bottom w:val="single" w:sz="12" w:space="0" w:color="FFFFFF"/>
              <w:right w:val="single" w:sz="12" w:space="0" w:color="FFFFFF"/>
            </w:tcBorders>
            <w:shd w:val="clear" w:color="auto" w:fill="003A70"/>
            <w:hideMark/>
          </w:tcPr>
          <w:p w14:paraId="2EBAB851"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szCs w:val="16"/>
                <w:bdr w:val="none" w:sz="0" w:space="0" w:color="auto" w:frame="1"/>
              </w:rPr>
            </w:pPr>
            <w:r w:rsidRPr="00462C13">
              <w:rPr>
                <w:rFonts w:eastAsia="Arial Unicode MS" w:cs="Tahoma"/>
                <w:szCs w:val="16"/>
                <w:bdr w:val="none" w:sz="0" w:space="0" w:color="auto" w:frame="1"/>
              </w:rPr>
              <w:t xml:space="preserve">Metas Periodo </w:t>
            </w:r>
          </w:p>
        </w:tc>
        <w:tc>
          <w:tcPr>
            <w:tcW w:w="241" w:type="pct"/>
            <w:vMerge/>
            <w:tcBorders>
              <w:left w:val="single" w:sz="12" w:space="0" w:color="FFFFFF"/>
              <w:bottom w:val="single" w:sz="12" w:space="0" w:color="FFFFFF"/>
              <w:right w:val="single" w:sz="12" w:space="0" w:color="FFFFFF"/>
            </w:tcBorders>
            <w:hideMark/>
          </w:tcPr>
          <w:p w14:paraId="4C3DD0EB"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14" w:type="pct"/>
            <w:vMerge/>
            <w:tcBorders>
              <w:top w:val="single" w:sz="12" w:space="0" w:color="FFFFFF"/>
              <w:left w:val="single" w:sz="12" w:space="0" w:color="FFFFFF"/>
              <w:bottom w:val="single" w:sz="12" w:space="0" w:color="FFFFFF"/>
              <w:right w:val="single" w:sz="12" w:space="0" w:color="FFFFFF"/>
            </w:tcBorders>
            <w:shd w:val="clear" w:color="auto" w:fill="003366"/>
            <w:hideMark/>
          </w:tcPr>
          <w:p w14:paraId="7A84AADF"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242" w:type="pct"/>
            <w:vMerge/>
            <w:tcBorders>
              <w:left w:val="single" w:sz="12" w:space="0" w:color="FFFFFF"/>
              <w:bottom w:val="single" w:sz="12" w:space="0" w:color="FFFFFF"/>
              <w:right w:val="single" w:sz="12" w:space="0" w:color="FFFFFF"/>
            </w:tcBorders>
            <w:hideMark/>
          </w:tcPr>
          <w:p w14:paraId="4E9C359B" w14:textId="77777777" w:rsidR="006D3EDA" w:rsidRPr="00650798"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34" w:type="pct"/>
            <w:tcBorders>
              <w:left w:val="single" w:sz="12" w:space="0" w:color="FFFFFF"/>
              <w:bottom w:val="single" w:sz="12" w:space="0" w:color="FFFFFF"/>
              <w:right w:val="single" w:sz="12" w:space="0" w:color="FFFFFF"/>
            </w:tcBorders>
            <w:shd w:val="clear" w:color="auto" w:fill="003A70"/>
          </w:tcPr>
          <w:p w14:paraId="59C15A3E" w14:textId="77777777" w:rsidR="006D3EDA" w:rsidRPr="00650798"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b w:val="0"/>
                <w:bCs w:val="0"/>
                <w:iCs w:val="0"/>
                <w:szCs w:val="16"/>
                <w:bdr w:val="none" w:sz="0" w:space="0" w:color="auto" w:frame="1"/>
              </w:rPr>
            </w:pPr>
            <w:r w:rsidRPr="00650798">
              <w:rPr>
                <w:rFonts w:eastAsia="Arial Unicode MS" w:cs="Tahoma"/>
                <w:color w:val="auto"/>
                <w:szCs w:val="12"/>
                <w:bdr w:val="none" w:sz="0" w:space="0" w:color="auto" w:frame="1"/>
                <w:lang w:eastAsia="en-US"/>
              </w:rPr>
              <w:t>Presupuesto programado</w:t>
            </w:r>
          </w:p>
        </w:tc>
        <w:tc>
          <w:tcPr>
            <w:tcW w:w="307" w:type="pct"/>
            <w:tcBorders>
              <w:left w:val="single" w:sz="12" w:space="0" w:color="FFFFFF"/>
              <w:bottom w:val="single" w:sz="12" w:space="0" w:color="FFFFFF"/>
              <w:right w:val="single" w:sz="12" w:space="0" w:color="FFFFFF"/>
            </w:tcBorders>
            <w:shd w:val="clear" w:color="auto" w:fill="003A70"/>
          </w:tcPr>
          <w:p w14:paraId="69AFDBAE"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Monto ejecutado</w:t>
            </w:r>
          </w:p>
        </w:tc>
        <w:tc>
          <w:tcPr>
            <w:tcW w:w="347" w:type="pct"/>
            <w:tcBorders>
              <w:left w:val="single" w:sz="12" w:space="0" w:color="FFFFFF"/>
              <w:bottom w:val="single" w:sz="12" w:space="0" w:color="FFFFFF"/>
              <w:right w:val="single" w:sz="12" w:space="0" w:color="FFFFFF"/>
            </w:tcBorders>
            <w:shd w:val="clear" w:color="auto" w:fill="003A70"/>
          </w:tcPr>
          <w:p w14:paraId="1A8B9647"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r w:rsidRPr="00BF3111">
              <w:rPr>
                <w:rFonts w:eastAsia="Arial Unicode MS" w:cs="Tahoma"/>
                <w:szCs w:val="16"/>
                <w:bdr w:val="none" w:sz="0" w:space="0" w:color="auto" w:frame="1"/>
              </w:rPr>
              <w:t>Información cualitativa</w:t>
            </w:r>
          </w:p>
        </w:tc>
        <w:tc>
          <w:tcPr>
            <w:tcW w:w="296" w:type="pct"/>
            <w:vMerge/>
            <w:tcBorders>
              <w:left w:val="single" w:sz="12" w:space="0" w:color="FFFFFF"/>
              <w:bottom w:val="single" w:sz="12" w:space="0" w:color="FFFFFF"/>
              <w:right w:val="single" w:sz="12" w:space="0" w:color="FFFFFF"/>
            </w:tcBorders>
          </w:tcPr>
          <w:p w14:paraId="7810E321"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328" w:type="pct"/>
            <w:vMerge/>
            <w:tcBorders>
              <w:top w:val="single" w:sz="12" w:space="0" w:color="FFFFFF"/>
              <w:left w:val="single" w:sz="12" w:space="0" w:color="FFFFFF"/>
              <w:bottom w:val="single" w:sz="12" w:space="0" w:color="FFFFFF"/>
              <w:right w:val="single" w:sz="12" w:space="0" w:color="FFFFFF"/>
            </w:tcBorders>
            <w:hideMark/>
          </w:tcPr>
          <w:p w14:paraId="3AE651D0"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rPr>
            </w:pPr>
          </w:p>
        </w:tc>
        <w:tc>
          <w:tcPr>
            <w:tcW w:w="1691" w:type="pct"/>
            <w:vMerge/>
            <w:tcBorders>
              <w:top w:val="single" w:sz="12" w:space="0" w:color="FFFFFF"/>
              <w:left w:val="single" w:sz="12" w:space="0" w:color="FFFFFF"/>
              <w:bottom w:val="single" w:sz="12" w:space="0" w:color="FFFFFF"/>
              <w:right w:val="single" w:sz="12" w:space="0" w:color="FFFFFF"/>
            </w:tcBorders>
            <w:hideMark/>
          </w:tcPr>
          <w:p w14:paraId="30DD76E6" w14:textId="77777777" w:rsidR="006D3EDA" w:rsidRPr="00462C13" w:rsidRDefault="006D3EDA" w:rsidP="005B79CC">
            <w:pPr>
              <w:cnfStyle w:val="100000000000" w:firstRow="1" w:lastRow="0" w:firstColumn="0" w:lastColumn="0" w:oddVBand="0" w:evenVBand="0" w:oddHBand="0" w:evenHBand="0" w:firstRowFirstColumn="0" w:firstRowLastColumn="0" w:lastRowFirstColumn="0" w:lastRowLastColumn="0"/>
              <w:rPr>
                <w:rFonts w:eastAsia="Arial Unicode MS" w:cs="Tahoma"/>
                <w:szCs w:val="16"/>
                <w:bdr w:val="none" w:sz="0" w:space="0" w:color="auto" w:frame="1"/>
                <w:vertAlign w:val="superscript"/>
              </w:rPr>
            </w:pPr>
          </w:p>
        </w:tc>
      </w:tr>
      <w:tr w:rsidR="00650798" w:rsidRPr="00462C13" w14:paraId="57328719" w14:textId="77777777" w:rsidTr="006507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5"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7833C2F" w14:textId="77777777" w:rsidR="006D3EDA" w:rsidRPr="00462C13" w:rsidRDefault="006D3EDA" w:rsidP="005B79CC">
            <w:pPr>
              <w:jc w:val="both"/>
              <w:rPr>
                <w:rFonts w:cs="Tahoma"/>
                <w:szCs w:val="16"/>
              </w:rPr>
            </w:pPr>
            <w:r w:rsidRPr="00462C13">
              <w:rPr>
                <w:rFonts w:cs="Tahoma"/>
                <w:b/>
                <w:szCs w:val="16"/>
              </w:rPr>
              <w:t>8.1</w:t>
            </w:r>
            <w:r w:rsidRPr="00462C13">
              <w:rPr>
                <w:rFonts w:cs="Tahoma"/>
                <w:szCs w:val="16"/>
              </w:rPr>
              <w:t xml:space="preserve"> Fortalecer las capacidades de denuncia de las mujeres para el ejercicio de sus derechos.</w:t>
            </w:r>
          </w:p>
        </w:tc>
        <w:tc>
          <w:tcPr>
            <w:tcW w:w="40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B5C30C0" w14:textId="434CDA6F" w:rsidR="006D3EDA" w:rsidRPr="00462C13" w:rsidRDefault="006D3EDA" w:rsidP="0046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b/>
                <w:szCs w:val="16"/>
              </w:rPr>
              <w:t>B. 1.1.1</w:t>
            </w:r>
            <w:r w:rsidRPr="00462C13">
              <w:rPr>
                <w:rFonts w:cs="Tahoma"/>
                <w:szCs w:val="16"/>
              </w:rPr>
              <w:t xml:space="preserve"> </w:t>
            </w:r>
            <w:r w:rsidR="0046254E" w:rsidRPr="0046254E">
              <w:rPr>
                <w:rFonts w:cs="Tahoma"/>
                <w:szCs w:val="16"/>
              </w:rPr>
              <w:t>Número de mujeres que reciben atención y orientación psicosocial y legal, en los puntos violeta establecidos.</w:t>
            </w:r>
          </w:p>
        </w:tc>
        <w:tc>
          <w:tcPr>
            <w:tcW w:w="278"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AC6ED92" w14:textId="77777777" w:rsidR="006D3EDA" w:rsidRDefault="006D3EDA" w:rsidP="005B79CC">
            <w:pPr>
              <w:jc w:val="left"/>
              <w:cnfStyle w:val="000000100000" w:firstRow="0" w:lastRow="0" w:firstColumn="0" w:lastColumn="0" w:oddVBand="0" w:evenVBand="0" w:oddHBand="1" w:evenHBand="0" w:firstRowFirstColumn="0" w:firstRowLastColumn="0" w:lastRowFirstColumn="0" w:lastRowLastColumn="0"/>
              <w:rPr>
                <w:rFonts w:cs="Tahoma"/>
                <w:b/>
                <w:bCs/>
                <w:szCs w:val="16"/>
              </w:rPr>
            </w:pPr>
            <w:r w:rsidRPr="00462C13">
              <w:rPr>
                <w:rFonts w:cs="Tahoma"/>
                <w:b/>
                <w:bCs/>
                <w:szCs w:val="16"/>
              </w:rPr>
              <w:t xml:space="preserve">2023-2026: </w:t>
            </w:r>
          </w:p>
          <w:p w14:paraId="7C94E03D" w14:textId="77777777" w:rsidR="006D3EDA" w:rsidRPr="00462C13" w:rsidRDefault="006D3EDA" w:rsidP="005B79CC">
            <w:pPr>
              <w:jc w:val="left"/>
              <w:cnfStyle w:val="000000100000" w:firstRow="0" w:lastRow="0" w:firstColumn="0" w:lastColumn="0" w:oddVBand="0" w:evenVBand="0" w:oddHBand="1" w:evenHBand="0" w:firstRowFirstColumn="0" w:firstRowLastColumn="0" w:lastRowFirstColumn="0" w:lastRowLastColumn="0"/>
              <w:rPr>
                <w:rFonts w:cs="Tahoma"/>
                <w:szCs w:val="16"/>
              </w:rPr>
            </w:pPr>
            <w:r w:rsidRPr="00462C13">
              <w:rPr>
                <w:rFonts w:cs="Tahoma"/>
                <w:szCs w:val="16"/>
              </w:rPr>
              <w:t>10</w:t>
            </w:r>
            <w:r>
              <w:rPr>
                <w:rFonts w:cs="Tahoma"/>
                <w:szCs w:val="16"/>
              </w:rPr>
              <w:t xml:space="preserve"> </w:t>
            </w:r>
            <w:r w:rsidRPr="00462C13">
              <w:rPr>
                <w:rFonts w:cs="Tahoma"/>
                <w:szCs w:val="16"/>
              </w:rPr>
              <w:t>000</w:t>
            </w:r>
            <w:r w:rsidRPr="00462C13">
              <w:rPr>
                <w:rFonts w:cs="Tahoma"/>
                <w:szCs w:val="16"/>
              </w:rPr>
              <w:br/>
            </w:r>
            <w:r w:rsidRPr="00462C13">
              <w:rPr>
                <w:rFonts w:cs="Tahoma"/>
                <w:szCs w:val="16"/>
              </w:rPr>
              <w:br/>
              <w:t>2023: 600</w:t>
            </w:r>
            <w:r w:rsidRPr="00462C13">
              <w:rPr>
                <w:rFonts w:cs="Tahoma"/>
                <w:szCs w:val="16"/>
              </w:rPr>
              <w:br/>
              <w:t>2024: 3.133</w:t>
            </w:r>
            <w:r w:rsidRPr="00462C13">
              <w:rPr>
                <w:rFonts w:cs="Tahoma"/>
                <w:szCs w:val="16"/>
              </w:rPr>
              <w:br/>
              <w:t>2025: 3.133</w:t>
            </w:r>
            <w:r w:rsidRPr="00462C13">
              <w:rPr>
                <w:rFonts w:cs="Tahoma"/>
                <w:szCs w:val="16"/>
              </w:rPr>
              <w:br/>
              <w:t>2026: 3.134</w:t>
            </w:r>
          </w:p>
        </w:tc>
        <w:tc>
          <w:tcPr>
            <w:tcW w:w="241"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766B7B12" w14:textId="77777777" w:rsidR="006D3EDA" w:rsidRPr="008E3CEF" w:rsidRDefault="006D3EDA" w:rsidP="005B79CC">
            <w:pPr>
              <w:jc w:val="center"/>
              <w:cnfStyle w:val="000000100000" w:firstRow="0" w:lastRow="0" w:firstColumn="0" w:lastColumn="0" w:oddVBand="0" w:evenVBand="0" w:oddHBand="1" w:evenHBand="0" w:firstRowFirstColumn="0" w:firstRowLastColumn="0" w:lastRowFirstColumn="0" w:lastRowLastColumn="0"/>
              <w:rPr>
                <w:rFonts w:eastAsia="Arial Unicode MS" w:cs="Tahoma"/>
                <w:szCs w:val="18"/>
                <w:bdr w:val="none" w:sz="0" w:space="0" w:color="auto" w:frame="1"/>
              </w:rPr>
            </w:pPr>
            <w:r w:rsidRPr="008E3CEF">
              <w:rPr>
                <w:rFonts w:cs="Tahoma"/>
                <w:bCs/>
                <w:szCs w:val="18"/>
              </w:rPr>
              <w:t>3133</w:t>
            </w:r>
          </w:p>
        </w:tc>
        <w:tc>
          <w:tcPr>
            <w:tcW w:w="21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145D4592" w14:textId="14DF25EA" w:rsidR="006D3EDA" w:rsidRPr="008E3CEF" w:rsidRDefault="0053491F" w:rsidP="005B79CC">
            <w:pPr>
              <w:jc w:val="center"/>
              <w:cnfStyle w:val="000000100000" w:firstRow="0" w:lastRow="0" w:firstColumn="0" w:lastColumn="0" w:oddVBand="0" w:evenVBand="0" w:oddHBand="1" w:evenHBand="0" w:firstRowFirstColumn="0" w:firstRowLastColumn="0" w:lastRowFirstColumn="0" w:lastRowLastColumn="0"/>
              <w:rPr>
                <w:rFonts w:cs="Tahoma"/>
                <w:szCs w:val="18"/>
              </w:rPr>
            </w:pPr>
            <w:r w:rsidRPr="0053491F">
              <w:rPr>
                <w:rFonts w:cs="Tahoma"/>
                <w:szCs w:val="18"/>
              </w:rPr>
              <w:t>4.630</w:t>
            </w:r>
          </w:p>
        </w:tc>
        <w:tc>
          <w:tcPr>
            <w:tcW w:w="242"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5942B865" w14:textId="56BEE977" w:rsidR="006D3EDA" w:rsidRPr="008E3CEF" w:rsidRDefault="0053491F" w:rsidP="005B79CC">
            <w:pPr>
              <w:jc w:val="center"/>
              <w:cnfStyle w:val="000000100000" w:firstRow="0" w:lastRow="0" w:firstColumn="0" w:lastColumn="0" w:oddVBand="0" w:evenVBand="0" w:oddHBand="1" w:evenHBand="0" w:firstRowFirstColumn="0" w:firstRowLastColumn="0" w:lastRowFirstColumn="0" w:lastRowLastColumn="0"/>
              <w:rPr>
                <w:rFonts w:cs="Tahoma"/>
                <w:szCs w:val="18"/>
              </w:rPr>
            </w:pPr>
            <w:r w:rsidRPr="0053491F">
              <w:rPr>
                <w:rFonts w:cs="Tahoma"/>
                <w:szCs w:val="18"/>
              </w:rPr>
              <w:t xml:space="preserve">147,78 </w:t>
            </w:r>
            <w:r w:rsidR="006D3EDA" w:rsidRPr="008E3CEF">
              <w:rPr>
                <w:rFonts w:cs="Tahoma"/>
                <w:szCs w:val="18"/>
              </w:rPr>
              <w:t>%</w:t>
            </w:r>
          </w:p>
        </w:tc>
        <w:tc>
          <w:tcPr>
            <w:tcW w:w="334"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FA8EA08" w14:textId="783A7DF9" w:rsidR="006D3EDA" w:rsidRPr="00650798" w:rsidRDefault="00650798"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650798">
              <w:rPr>
                <w:rFonts w:cs="Tahoma"/>
                <w:szCs w:val="16"/>
              </w:rPr>
              <w:t>375.000.000,00</w:t>
            </w:r>
          </w:p>
        </w:tc>
        <w:tc>
          <w:tcPr>
            <w:tcW w:w="30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3E2731F6" w14:textId="42960B26" w:rsidR="006D3EDA" w:rsidRPr="00650798" w:rsidRDefault="00CE1024" w:rsidP="005B79CC">
            <w:pPr>
              <w:cnfStyle w:val="000000100000" w:firstRow="0" w:lastRow="0" w:firstColumn="0" w:lastColumn="0" w:oddVBand="0" w:evenVBand="0" w:oddHBand="1" w:evenHBand="0" w:firstRowFirstColumn="0" w:firstRowLastColumn="0" w:lastRowFirstColumn="0" w:lastRowLastColumn="0"/>
              <w:rPr>
                <w:rFonts w:cs="Tahoma"/>
                <w:szCs w:val="16"/>
              </w:rPr>
            </w:pPr>
            <w:r w:rsidRPr="00650798">
              <w:rPr>
                <w:rFonts w:cs="Tahoma"/>
                <w:szCs w:val="16"/>
              </w:rPr>
              <w:t>375.000.000,00</w:t>
            </w:r>
          </w:p>
        </w:tc>
        <w:tc>
          <w:tcPr>
            <w:tcW w:w="347"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4A505B2D" w14:textId="77777777" w:rsidR="006D3EDA" w:rsidRPr="00650798"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650798">
              <w:rPr>
                <w:rFonts w:cs="Tahoma"/>
                <w:szCs w:val="16"/>
              </w:rPr>
              <w:t xml:space="preserve">No aplica </w:t>
            </w:r>
          </w:p>
          <w:p w14:paraId="6A7EB451" w14:textId="77777777" w:rsidR="00AE3121" w:rsidRPr="00650798" w:rsidRDefault="00AE3121"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p>
          <w:p w14:paraId="00B48A5B" w14:textId="76FFC199" w:rsidR="00AE3121" w:rsidRPr="00650798" w:rsidRDefault="00AE3121"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p>
        </w:tc>
        <w:tc>
          <w:tcPr>
            <w:tcW w:w="296"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292C6C53"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8E3CEF">
              <w:rPr>
                <w:rFonts w:cs="Tahoma"/>
                <w:szCs w:val="16"/>
              </w:rPr>
              <w:t>Instituto Nacional de las Mujeres</w:t>
            </w:r>
          </w:p>
        </w:tc>
        <w:tc>
          <w:tcPr>
            <w:tcW w:w="328" w:type="pct"/>
            <w:tcBorders>
              <w:top w:val="single" w:sz="12" w:space="0" w:color="FFFFFF"/>
              <w:left w:val="single" w:sz="12" w:space="0" w:color="FFFFFF"/>
              <w:bottom w:val="single" w:sz="12" w:space="0" w:color="FFFFFF"/>
              <w:right w:val="single" w:sz="12" w:space="0" w:color="FFFFFF"/>
            </w:tcBorders>
            <w:shd w:val="clear" w:color="auto" w:fill="92D050"/>
          </w:tcPr>
          <w:p w14:paraId="28446686" w14:textId="77777777" w:rsidR="006D3EDA" w:rsidRPr="00462C13" w:rsidRDefault="006D3EDA" w:rsidP="005B79CC">
            <w:pPr>
              <w:jc w:val="center"/>
              <w:cnfStyle w:val="000000100000" w:firstRow="0" w:lastRow="0" w:firstColumn="0" w:lastColumn="0" w:oddVBand="0" w:evenVBand="0" w:oddHBand="1" w:evenHBand="0" w:firstRowFirstColumn="0" w:firstRowLastColumn="0" w:lastRowFirstColumn="0" w:lastRowLastColumn="0"/>
              <w:rPr>
                <w:rFonts w:cs="Tahoma"/>
                <w:szCs w:val="16"/>
              </w:rPr>
            </w:pPr>
            <w:r w:rsidRPr="00C43FB6">
              <w:rPr>
                <w:rFonts w:cs="Tahoma"/>
                <w:b/>
                <w:szCs w:val="16"/>
              </w:rPr>
              <w:t>Cumplimiento alto</w:t>
            </w:r>
          </w:p>
        </w:tc>
        <w:tc>
          <w:tcPr>
            <w:tcW w:w="1691" w:type="pct"/>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Pr>
          <w:p w14:paraId="631DF4C3" w14:textId="77777777" w:rsidR="006D3EDA" w:rsidRDefault="006D3ED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Logros </w:t>
            </w:r>
          </w:p>
          <w:p w14:paraId="0B7AFB4F" w14:textId="77777777" w:rsidR="00F06A2B" w:rsidRPr="00F06A2B" w:rsidRDefault="00F06A2B" w:rsidP="00F06A2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F06A2B">
              <w:rPr>
                <w:rFonts w:cs="Tahoma"/>
                <w:szCs w:val="16"/>
              </w:rPr>
              <w:t>En cuanto a logros puntuales reportados por las Unidades Regionales se destaca:</w:t>
            </w:r>
          </w:p>
          <w:p w14:paraId="0807CB50" w14:textId="77777777" w:rsidR="00F06A2B" w:rsidRDefault="00F06A2B" w:rsidP="00F06A2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F06A2B">
              <w:rPr>
                <w:rFonts w:cs="Tahoma"/>
                <w:szCs w:val="16"/>
              </w:rPr>
              <w:t>Se han realizado esfuerzos para la divulgación del servicio de los puntos, y se ha aumentado la atención en el segundo semestre en términos globales.</w:t>
            </w:r>
          </w:p>
          <w:p w14:paraId="68C6CFA9" w14:textId="77777777" w:rsidR="00903362" w:rsidRPr="00F06A2B" w:rsidRDefault="00903362" w:rsidP="00F06A2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2E0F65B9" w14:textId="77777777" w:rsidR="00F06A2B" w:rsidRDefault="00F06A2B" w:rsidP="00F06A2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F06A2B">
              <w:rPr>
                <w:rFonts w:cs="Tahoma"/>
                <w:szCs w:val="16"/>
              </w:rPr>
              <w:t>Se logra referenciar a las mujeres a otros servicios legales y psicológicos institucionales, realizando una articulación exitosa de la oferta de servicios.</w:t>
            </w:r>
          </w:p>
          <w:p w14:paraId="2022FD3C" w14:textId="77777777" w:rsidR="00903362" w:rsidRPr="00F06A2B" w:rsidRDefault="00903362" w:rsidP="00F06A2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1FBE43C0" w14:textId="77777777" w:rsidR="00F06A2B" w:rsidRDefault="00F06A2B" w:rsidP="00F06A2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F06A2B">
              <w:rPr>
                <w:rFonts w:cs="Tahoma"/>
                <w:szCs w:val="16"/>
              </w:rPr>
              <w:t>Se ofreció orientación, información, asesoría y primeros auxilios psicológicos de forma inmediata a las mujeres que asistieron al servicio por alguna situación de violencia, y refiriendo en caso de ser necesario el seguimiento del caso hacia las Unidades Regionales del INAMU con tiempos de respuesta cortos lo que promueve una mayor eficacia y rapidez para llevar de manera efectiva un accionar adecuado para cada caso.</w:t>
            </w:r>
          </w:p>
          <w:p w14:paraId="0257295E" w14:textId="77777777" w:rsidR="00903362" w:rsidRPr="00F06A2B" w:rsidRDefault="00903362" w:rsidP="00F06A2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7B511525" w14:textId="2C2F0874" w:rsidR="006D3EDA" w:rsidRDefault="00F06A2B" w:rsidP="00F06A2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F06A2B">
              <w:rPr>
                <w:rFonts w:cs="Tahoma"/>
                <w:szCs w:val="16"/>
              </w:rPr>
              <w:t>El trabajo en conjunto entre los Puntos Violeta y las Unidades Regionales permite disminuir la saturación del servicio de atención en las Unidades Regionales, ya que a través del Punto Violeta se les brinda a otras usuarias la orientación que requieren o solicitan en caso de que no se trate sobre alguna situación de violencia, como por ejemplo FOMUJERES, procesos migratorios, asuntos laborales, conflictos familiares, vecinales o bien por alguna situación personal que acuden al INAMU.</w:t>
            </w:r>
          </w:p>
          <w:p w14:paraId="50BD08C6" w14:textId="77777777" w:rsidR="00F06A2B" w:rsidRDefault="00F06A2B" w:rsidP="00F06A2B">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70A51C88" w14:textId="77777777" w:rsidR="006D3EDA" w:rsidRDefault="006D3ED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7B087D">
              <w:rPr>
                <w:rFonts w:cs="Tahoma"/>
                <w:b/>
                <w:szCs w:val="16"/>
              </w:rPr>
              <w:t xml:space="preserve">Factores que contribuyeron </w:t>
            </w:r>
            <w:r>
              <w:rPr>
                <w:rFonts w:cs="Tahoma"/>
                <w:b/>
                <w:szCs w:val="16"/>
              </w:rPr>
              <w:t xml:space="preserve">al cumplimiento </w:t>
            </w:r>
            <w:r w:rsidRPr="007B087D">
              <w:rPr>
                <w:rFonts w:cs="Tahoma"/>
                <w:b/>
                <w:szCs w:val="16"/>
              </w:rPr>
              <w:t>de la meta superior a 125%</w:t>
            </w:r>
          </w:p>
          <w:p w14:paraId="0944836C" w14:textId="77777777" w:rsidR="006D3EDA" w:rsidRDefault="006D3EDA" w:rsidP="005B79CC">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p>
          <w:p w14:paraId="539D3AC7" w14:textId="65D8CDA5" w:rsidR="00C51B53" w:rsidRDefault="00C51B53" w:rsidP="00C51B53">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r w:rsidRPr="00C51B53">
              <w:rPr>
                <w:rFonts w:cs="Tahoma"/>
                <w:szCs w:val="16"/>
              </w:rPr>
              <w:t>En términos generales, la meta de 3133 mujeres fue superada en un 48% ya que el total registrado anual fue de 4630 y, su explicación se debe básicamente a la demanda que, no en todas las regiones tiene el mismo comportamiento.</w:t>
            </w:r>
          </w:p>
          <w:p w14:paraId="0651B987" w14:textId="77777777" w:rsidR="00C51B53" w:rsidRPr="00C51B53" w:rsidRDefault="00C51B53" w:rsidP="00C51B53">
            <w:pPr>
              <w:tabs>
                <w:tab w:val="left" w:pos="1650"/>
              </w:tabs>
              <w:cnfStyle w:val="000000100000" w:firstRow="0" w:lastRow="0" w:firstColumn="0" w:lastColumn="0" w:oddVBand="0" w:evenVBand="0" w:oddHBand="1" w:evenHBand="0" w:firstRowFirstColumn="0" w:firstRowLastColumn="0" w:lastRowFirstColumn="0" w:lastRowLastColumn="0"/>
              <w:rPr>
                <w:rFonts w:cs="Tahoma"/>
                <w:szCs w:val="16"/>
              </w:rPr>
            </w:pPr>
          </w:p>
          <w:p w14:paraId="24727D02" w14:textId="51E4C7DF" w:rsidR="006D3EDA" w:rsidRPr="007B087D" w:rsidRDefault="00C51B53" w:rsidP="00C51B53">
            <w:pPr>
              <w:tabs>
                <w:tab w:val="left" w:pos="1650"/>
              </w:tabs>
              <w:cnfStyle w:val="000000100000" w:firstRow="0" w:lastRow="0" w:firstColumn="0" w:lastColumn="0" w:oddVBand="0" w:evenVBand="0" w:oddHBand="1" w:evenHBand="0" w:firstRowFirstColumn="0" w:firstRowLastColumn="0" w:lastRowFirstColumn="0" w:lastRowLastColumn="0"/>
              <w:rPr>
                <w:rFonts w:cs="Tahoma"/>
                <w:b/>
                <w:szCs w:val="16"/>
              </w:rPr>
            </w:pPr>
            <w:r w:rsidRPr="00C51B53">
              <w:rPr>
                <w:rFonts w:cs="Tahoma"/>
                <w:szCs w:val="16"/>
              </w:rPr>
              <w:t>Es importante señalar que las Regiones Central y Huetar Norte concentraron la mayor parte de la demanda, lo que provocó que la proyección inicial no coincidiera con el comportamiento real frente a lo programado. En detalle, la Región Huetar Norte y la región Central concentraron aproximadamente un 44% de la demanda.   Este resultado no pudo ser previsto debido a que la programación base se elaboró con parámetros muy bajos, tomando como referencia el comportamiento de años anteriores y, de ahí el sobrecumplimiento en un 48%.</w:t>
            </w:r>
          </w:p>
        </w:tc>
      </w:tr>
    </w:tbl>
    <w:p w14:paraId="659F9513" w14:textId="65E0ADEC" w:rsidR="006D3EDA" w:rsidRDefault="006D3EDA" w:rsidP="006D3EDA">
      <w:pPr>
        <w:pStyle w:val="Default"/>
        <w:rPr>
          <w:rFonts w:ascii="Tahoma" w:eastAsia="Arial Narrow" w:hAnsi="Tahoma" w:cs="Tahoma"/>
          <w:sz w:val="16"/>
        </w:rPr>
      </w:pPr>
      <w:r>
        <w:rPr>
          <w:rFonts w:ascii="Tahoma" w:eastAsia="Arial Narrow" w:hAnsi="Tahoma" w:cs="Tahoma"/>
          <w:sz w:val="16"/>
        </w:rPr>
        <w:t xml:space="preserve"> </w:t>
      </w:r>
      <w:r w:rsidRPr="00462C13">
        <w:rPr>
          <w:rFonts w:ascii="Tahoma" w:eastAsia="Arial Narrow" w:hAnsi="Tahoma" w:cs="Tahoma"/>
          <w:sz w:val="16"/>
        </w:rPr>
        <w:t>Fuente: Instituto Nacional de las Mujeres, 202</w:t>
      </w:r>
      <w:r w:rsidR="00126FFB">
        <w:rPr>
          <w:rFonts w:ascii="Tahoma" w:eastAsia="Arial Narrow" w:hAnsi="Tahoma" w:cs="Tahoma"/>
          <w:sz w:val="16"/>
        </w:rPr>
        <w:t>6</w:t>
      </w:r>
      <w:r w:rsidRPr="00462C13">
        <w:rPr>
          <w:rFonts w:ascii="Tahoma" w:eastAsia="Arial Narrow" w:hAnsi="Tahoma" w:cs="Tahoma"/>
          <w:sz w:val="16"/>
        </w:rPr>
        <w:t xml:space="preserve">. </w:t>
      </w:r>
    </w:p>
    <w:p w14:paraId="3626EA85" w14:textId="77777777" w:rsidR="006D3EDA" w:rsidRPr="00EB16A4" w:rsidRDefault="006D3EDA" w:rsidP="006D3EDA"/>
    <w:p w14:paraId="49CF549C" w14:textId="31EDD0A5" w:rsidR="002113E5" w:rsidRPr="0073029B" w:rsidRDefault="002113E5" w:rsidP="0066339A">
      <w:pPr>
        <w:pStyle w:val="Default"/>
        <w:rPr>
          <w:rFonts w:ascii="Tahoma" w:eastAsia="Arial Narrow" w:hAnsi="Tahoma" w:cs="Tahoma"/>
          <w:sz w:val="16"/>
        </w:rPr>
      </w:pPr>
    </w:p>
    <w:p w14:paraId="5F12D31A" w14:textId="703984A1" w:rsidR="002113E5" w:rsidRPr="0073029B" w:rsidRDefault="002113E5" w:rsidP="0066339A">
      <w:pPr>
        <w:pStyle w:val="Default"/>
        <w:rPr>
          <w:rFonts w:ascii="Tahoma" w:eastAsia="Arial Narrow" w:hAnsi="Tahoma" w:cs="Tahoma"/>
          <w:sz w:val="16"/>
        </w:rPr>
      </w:pPr>
    </w:p>
    <w:p w14:paraId="69A1FBD0" w14:textId="064646FD" w:rsidR="002113E5" w:rsidRPr="0073029B" w:rsidRDefault="002113E5" w:rsidP="0066339A">
      <w:pPr>
        <w:pStyle w:val="Default"/>
        <w:rPr>
          <w:rFonts w:ascii="Tahoma" w:eastAsia="Arial Narrow" w:hAnsi="Tahoma" w:cs="Tahoma"/>
          <w:sz w:val="16"/>
        </w:rPr>
      </w:pPr>
    </w:p>
    <w:p w14:paraId="52EB2B4C" w14:textId="77777777" w:rsidR="002113E5" w:rsidRPr="0073029B" w:rsidRDefault="002113E5" w:rsidP="002113E5">
      <w:pPr>
        <w:pStyle w:val="Ttulo1"/>
        <w:jc w:val="both"/>
        <w:rPr>
          <w:rFonts w:cs="Tahoma"/>
        </w:rPr>
        <w:sectPr w:rsidR="002113E5" w:rsidRPr="0073029B" w:rsidSect="007D2C8A">
          <w:footerReference w:type="default" r:id="rId24"/>
          <w:pgSz w:w="24480" w:h="15840" w:orient="landscape" w:code="3"/>
          <w:pgMar w:top="1491" w:right="1418" w:bottom="1418" w:left="1418" w:header="567" w:footer="567" w:gutter="0"/>
          <w:cols w:space="708"/>
          <w:docGrid w:linePitch="360"/>
        </w:sectPr>
      </w:pPr>
      <w:bookmarkStart w:id="48" w:name="_Toc189055702"/>
    </w:p>
    <w:p w14:paraId="7D2BEB42" w14:textId="1269969B" w:rsidR="00127A62" w:rsidRPr="0073029B" w:rsidRDefault="00D935FA" w:rsidP="00127A62">
      <w:pPr>
        <w:pStyle w:val="Ttulo1"/>
        <w:jc w:val="both"/>
        <w:rPr>
          <w:rFonts w:cs="Tahoma"/>
        </w:rPr>
      </w:pPr>
      <w:bookmarkStart w:id="49" w:name="_Toc220401628"/>
      <w:r w:rsidRPr="0073029B">
        <w:rPr>
          <w:rFonts w:cs="Tahoma"/>
        </w:rPr>
        <w:lastRenderedPageBreak/>
        <w:t>3</w:t>
      </w:r>
      <w:r w:rsidR="00127A62" w:rsidRPr="0073029B">
        <w:rPr>
          <w:rFonts w:cs="Tahoma"/>
        </w:rPr>
        <w:t>. Ficha técnica de indicadores Sectoriales</w:t>
      </w:r>
      <w:bookmarkEnd w:id="49"/>
      <w:r w:rsidR="00127A62" w:rsidRPr="0073029B">
        <w:rPr>
          <w:rFonts w:cs="Tahoma"/>
        </w:rPr>
        <w:t xml:space="preserve"> </w:t>
      </w:r>
    </w:p>
    <w:bookmarkEnd w:id="48"/>
    <w:p w14:paraId="5455C448" w14:textId="77777777" w:rsidR="003855FD" w:rsidRPr="0073029B" w:rsidRDefault="003855FD" w:rsidP="003855FD">
      <w:pPr>
        <w:spacing w:line="276" w:lineRule="auto"/>
        <w:jc w:val="both"/>
        <w:rPr>
          <w:rFonts w:cs="Tahoma"/>
        </w:rPr>
      </w:pPr>
      <w:r w:rsidRPr="0073029B">
        <w:rPr>
          <w:rFonts w:cs="Tahoma"/>
          <w:b/>
          <w:sz w:val="18"/>
          <w:szCs w:val="18"/>
        </w:rPr>
        <w:t>Objetivo sectorial</w:t>
      </w:r>
      <w:r w:rsidRPr="0073029B">
        <w:rPr>
          <w:rFonts w:cs="Tahoma"/>
          <w:sz w:val="18"/>
          <w:szCs w:val="18"/>
        </w:rPr>
        <w:t>: Fomentar la seguridad y el ejercicio de los derechos de las personas, mediante acciones públicas para el establecimiento de entornos seguros.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2"/>
        <w:gridCol w:w="1184"/>
        <w:gridCol w:w="6737"/>
      </w:tblGrid>
      <w:tr w:rsidR="003855FD" w:rsidRPr="0073029B" w14:paraId="47A0260E" w14:textId="77777777" w:rsidTr="004D2834">
        <w:trPr>
          <w:trHeight w:val="20"/>
          <w:tblHeader/>
        </w:trPr>
        <w:tc>
          <w:tcPr>
            <w:tcW w:w="1387" w:type="pct"/>
            <w:gridSpan w:val="2"/>
            <w:shd w:val="clear" w:color="000000" w:fill="D9D9D9"/>
            <w:vAlign w:val="center"/>
            <w:hideMark/>
          </w:tcPr>
          <w:p w14:paraId="7957DE49"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613" w:type="pct"/>
            <w:shd w:val="clear" w:color="000000" w:fill="D9D9D9"/>
            <w:vAlign w:val="center"/>
            <w:hideMark/>
          </w:tcPr>
          <w:p w14:paraId="3AF79872"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0CC6C4A1" w14:textId="77777777" w:rsidTr="004D2834">
        <w:trPr>
          <w:trHeight w:val="171"/>
        </w:trPr>
        <w:tc>
          <w:tcPr>
            <w:tcW w:w="1387" w:type="pct"/>
            <w:gridSpan w:val="2"/>
            <w:shd w:val="clear" w:color="auto" w:fill="003A70"/>
            <w:hideMark/>
          </w:tcPr>
          <w:p w14:paraId="65E0BC5A"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w:t>
            </w:r>
          </w:p>
        </w:tc>
        <w:tc>
          <w:tcPr>
            <w:tcW w:w="3613" w:type="pct"/>
            <w:shd w:val="clear" w:color="auto" w:fill="003A70"/>
          </w:tcPr>
          <w:p w14:paraId="79A6BDA8" w14:textId="77777777" w:rsidR="003855FD" w:rsidRPr="0073029B" w:rsidRDefault="003855FD" w:rsidP="004D2834">
            <w:pPr>
              <w:spacing w:after="0" w:line="240" w:lineRule="auto"/>
              <w:rPr>
                <w:rFonts w:eastAsia="Times New Roman" w:cs="Tahoma"/>
                <w:b/>
                <w:color w:val="FFFFFF" w:themeColor="background1"/>
                <w:lang w:eastAsia="es-CR"/>
              </w:rPr>
            </w:pPr>
            <w:r w:rsidRPr="0073029B">
              <w:rPr>
                <w:rFonts w:eastAsia="Times New Roman" w:cs="Tahoma"/>
                <w:b/>
                <w:color w:val="FFFFFF" w:themeColor="background1"/>
                <w:lang w:eastAsia="es-CR"/>
              </w:rPr>
              <w:t>Tasa de delitos por cada 100.000 habitantes</w:t>
            </w:r>
          </w:p>
        </w:tc>
      </w:tr>
      <w:tr w:rsidR="003855FD" w:rsidRPr="0073029B" w14:paraId="1844D79B" w14:textId="77777777" w:rsidTr="004D2834">
        <w:trPr>
          <w:trHeight w:val="20"/>
        </w:trPr>
        <w:tc>
          <w:tcPr>
            <w:tcW w:w="1387" w:type="pct"/>
            <w:gridSpan w:val="2"/>
            <w:shd w:val="clear" w:color="auto" w:fill="auto"/>
            <w:hideMark/>
          </w:tcPr>
          <w:p w14:paraId="40720BD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613" w:type="pct"/>
            <w:shd w:val="clear" w:color="auto" w:fill="auto"/>
          </w:tcPr>
          <w:p w14:paraId="723DD9AD"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Este indicador mide el total de delitos ocurridos por año bajo la tipificación de homicidio, hurto, robo, asalto, robo de vehículo o tacha de vehículo ocurridos en el territorio costarricense según datos reportados por el Organismo de Investigación Judicial y lo dividen entre cada cien mil habitantes del país.</w:t>
            </w:r>
          </w:p>
          <w:p w14:paraId="49D4AB1F"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7EB5A60A"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La tasa de delitos por cada 100.000 mil habitantes, desagregada por tipo de delito y regiones geográficas, entre otros, permite al país evaluar los niveles de violencia en su territorio y compararse con sus pares, con el propósito de adoptar políticas públicas que reduzcan su incidencia y así mejorar la calidad de vida de sus habitantes.</w:t>
            </w:r>
          </w:p>
          <w:p w14:paraId="19AFCF69"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08B4B9B4"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Para el país, la tasa de homicidios se constituye en un indicador referente para la toma de decisiones en cuanto a inversión pública y privada se refiere, lo cual es clave como mecanismo para promover el desarrollo humano de sus habitantes.</w:t>
            </w:r>
          </w:p>
        </w:tc>
      </w:tr>
      <w:tr w:rsidR="003855FD" w:rsidRPr="0073029B" w14:paraId="161DC564" w14:textId="77777777" w:rsidTr="004D2834">
        <w:trPr>
          <w:trHeight w:val="20"/>
        </w:trPr>
        <w:tc>
          <w:tcPr>
            <w:tcW w:w="1387" w:type="pct"/>
            <w:gridSpan w:val="2"/>
            <w:shd w:val="clear" w:color="auto" w:fill="auto"/>
            <w:hideMark/>
          </w:tcPr>
          <w:p w14:paraId="2410050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613" w:type="pct"/>
            <w:shd w:val="clear" w:color="auto" w:fill="auto"/>
          </w:tcPr>
          <w:p w14:paraId="159E1F29" w14:textId="77777777" w:rsidR="003855FD" w:rsidRPr="0073029B" w:rsidRDefault="003855FD" w:rsidP="004D2834">
            <w:pPr>
              <w:spacing w:after="0" w:line="240" w:lineRule="auto"/>
              <w:ind w:right="47"/>
              <w:jc w:val="both"/>
              <w:rPr>
                <w:rFonts w:eastAsia="Times New Roman" w:cs="Tahoma"/>
                <w:color w:val="000000"/>
                <w:szCs w:val="16"/>
                <w:lang w:eastAsia="es-CR"/>
              </w:rPr>
            </w:pPr>
            <w:proofErr w:type="gramStart"/>
            <w:r w:rsidRPr="0073029B">
              <w:rPr>
                <w:rFonts w:eastAsia="Times New Roman" w:cs="Tahoma"/>
                <w:color w:val="000000"/>
                <w:szCs w:val="16"/>
                <w:lang w:eastAsia="es-CR"/>
              </w:rPr>
              <w:t>Total</w:t>
            </w:r>
            <w:proofErr w:type="gramEnd"/>
            <w:r w:rsidRPr="0073029B">
              <w:rPr>
                <w:rFonts w:eastAsia="Times New Roman" w:cs="Tahoma"/>
                <w:color w:val="000000"/>
                <w:szCs w:val="16"/>
                <w:lang w:eastAsia="es-CR"/>
              </w:rPr>
              <w:t xml:space="preserve"> de delitos bajo la tipificación de homicidio, hurto, robo, asalto, robo de vehículo o tacha</w:t>
            </w:r>
          </w:p>
          <w:p w14:paraId="6E1E292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de vehículo/ (Población Total/100.000).</w:t>
            </w:r>
          </w:p>
        </w:tc>
      </w:tr>
      <w:tr w:rsidR="003855FD" w:rsidRPr="0073029B" w14:paraId="5387AFAE" w14:textId="77777777" w:rsidTr="004D2834">
        <w:trPr>
          <w:trHeight w:val="20"/>
        </w:trPr>
        <w:tc>
          <w:tcPr>
            <w:tcW w:w="1387" w:type="pct"/>
            <w:gridSpan w:val="2"/>
            <w:shd w:val="clear" w:color="auto" w:fill="auto"/>
            <w:hideMark/>
          </w:tcPr>
          <w:p w14:paraId="0F2A498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613" w:type="pct"/>
            <w:shd w:val="clear" w:color="auto" w:fill="auto"/>
          </w:tcPr>
          <w:p w14:paraId="64526181" w14:textId="77777777" w:rsidR="003855FD" w:rsidRPr="0073029B" w:rsidRDefault="003855FD" w:rsidP="004D2834">
            <w:pPr>
              <w:spacing w:after="0" w:line="240" w:lineRule="auto"/>
              <w:ind w:right="47"/>
              <w:jc w:val="both"/>
              <w:rPr>
                <w:rFonts w:eastAsia="Times New Roman" w:cs="Tahoma"/>
                <w:color w:val="000000"/>
                <w:szCs w:val="16"/>
                <w:lang w:eastAsia="es-CR"/>
              </w:rPr>
            </w:pPr>
            <w:proofErr w:type="gramStart"/>
            <w:r w:rsidRPr="0073029B">
              <w:rPr>
                <w:rFonts w:eastAsia="Times New Roman" w:cs="Tahoma"/>
                <w:color w:val="000000"/>
                <w:szCs w:val="16"/>
                <w:lang w:eastAsia="es-CR"/>
              </w:rPr>
              <w:t>Total</w:t>
            </w:r>
            <w:proofErr w:type="gramEnd"/>
            <w:r w:rsidRPr="0073029B">
              <w:rPr>
                <w:rFonts w:eastAsia="Times New Roman" w:cs="Tahoma"/>
                <w:color w:val="000000"/>
                <w:szCs w:val="16"/>
                <w:lang w:eastAsia="es-CR"/>
              </w:rPr>
              <w:t xml:space="preserve"> de homicidios, total de hurtos, total de robos, total de asaltos, total de robo a vehículos,</w:t>
            </w:r>
          </w:p>
          <w:p w14:paraId="47737FEF" w14:textId="77777777" w:rsidR="003855FD" w:rsidRPr="0073029B" w:rsidRDefault="003855FD" w:rsidP="004D2834">
            <w:pPr>
              <w:spacing w:after="0" w:line="240" w:lineRule="auto"/>
              <w:ind w:right="47"/>
              <w:jc w:val="both"/>
              <w:rPr>
                <w:rFonts w:eastAsia="Times New Roman" w:cs="Tahoma"/>
                <w:color w:val="000000"/>
                <w:szCs w:val="16"/>
                <w:lang w:eastAsia="es-CR"/>
              </w:rPr>
            </w:pPr>
            <w:proofErr w:type="gramStart"/>
            <w:r w:rsidRPr="0073029B">
              <w:rPr>
                <w:rFonts w:eastAsia="Times New Roman" w:cs="Tahoma"/>
                <w:color w:val="000000"/>
                <w:szCs w:val="16"/>
                <w:lang w:eastAsia="es-CR"/>
              </w:rPr>
              <w:t>total</w:t>
            </w:r>
            <w:proofErr w:type="gramEnd"/>
            <w:r w:rsidRPr="0073029B">
              <w:rPr>
                <w:rFonts w:eastAsia="Times New Roman" w:cs="Tahoma"/>
                <w:color w:val="000000"/>
                <w:szCs w:val="16"/>
                <w:lang w:eastAsia="es-CR"/>
              </w:rPr>
              <w:t xml:space="preserve"> de tacha de vehículo.</w:t>
            </w:r>
          </w:p>
          <w:p w14:paraId="34FFC725"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Población total de Costa Rica</w:t>
            </w:r>
          </w:p>
        </w:tc>
      </w:tr>
      <w:tr w:rsidR="003855FD" w:rsidRPr="0073029B" w14:paraId="0A816B63" w14:textId="77777777" w:rsidTr="004D2834">
        <w:trPr>
          <w:trHeight w:val="20"/>
        </w:trPr>
        <w:tc>
          <w:tcPr>
            <w:tcW w:w="1387" w:type="pct"/>
            <w:gridSpan w:val="2"/>
            <w:shd w:val="clear" w:color="auto" w:fill="auto"/>
            <w:hideMark/>
          </w:tcPr>
          <w:p w14:paraId="176B8CD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613" w:type="pct"/>
            <w:shd w:val="clear" w:color="auto" w:fill="auto"/>
          </w:tcPr>
          <w:p w14:paraId="1407CE4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Tasa</w:t>
            </w:r>
          </w:p>
        </w:tc>
      </w:tr>
      <w:tr w:rsidR="003855FD" w:rsidRPr="0073029B" w14:paraId="66FA73ED" w14:textId="77777777" w:rsidTr="004D2834">
        <w:trPr>
          <w:trHeight w:val="368"/>
        </w:trPr>
        <w:tc>
          <w:tcPr>
            <w:tcW w:w="1387" w:type="pct"/>
            <w:gridSpan w:val="2"/>
            <w:shd w:val="clear" w:color="auto" w:fill="auto"/>
            <w:hideMark/>
          </w:tcPr>
          <w:p w14:paraId="2201768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613" w:type="pct"/>
            <w:shd w:val="clear" w:color="auto" w:fill="auto"/>
          </w:tcPr>
          <w:p w14:paraId="2D2CF069"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Expresa la tasa de delitos ocurridos en un año específico, de acuerdo con una relación por</w:t>
            </w:r>
          </w:p>
          <w:p w14:paraId="300FBE0B"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cada 100 mil habitantes.</w:t>
            </w:r>
          </w:p>
        </w:tc>
      </w:tr>
      <w:tr w:rsidR="003855FD" w:rsidRPr="0073029B" w14:paraId="044B9B39" w14:textId="77777777" w:rsidTr="004D2834">
        <w:trPr>
          <w:trHeight w:val="20"/>
        </w:trPr>
        <w:tc>
          <w:tcPr>
            <w:tcW w:w="752" w:type="pct"/>
            <w:vMerge w:val="restart"/>
            <w:shd w:val="clear" w:color="auto" w:fill="auto"/>
            <w:hideMark/>
          </w:tcPr>
          <w:p w14:paraId="313E335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35" w:type="pct"/>
            <w:shd w:val="clear" w:color="auto" w:fill="auto"/>
            <w:hideMark/>
          </w:tcPr>
          <w:p w14:paraId="3A43C40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613" w:type="pct"/>
            <w:shd w:val="clear" w:color="auto" w:fill="auto"/>
          </w:tcPr>
          <w:p w14:paraId="54C42851"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Nacional</w:t>
            </w:r>
          </w:p>
        </w:tc>
      </w:tr>
      <w:tr w:rsidR="003855FD" w:rsidRPr="0073029B" w14:paraId="4530F667" w14:textId="77777777" w:rsidTr="004D2834">
        <w:trPr>
          <w:trHeight w:val="20"/>
        </w:trPr>
        <w:tc>
          <w:tcPr>
            <w:tcW w:w="752" w:type="pct"/>
            <w:vMerge/>
            <w:vAlign w:val="center"/>
            <w:hideMark/>
          </w:tcPr>
          <w:p w14:paraId="638E8D7B" w14:textId="77777777" w:rsidR="003855FD" w:rsidRPr="0073029B" w:rsidRDefault="003855FD" w:rsidP="004D2834">
            <w:pPr>
              <w:spacing w:after="0" w:line="240" w:lineRule="auto"/>
              <w:rPr>
                <w:rFonts w:eastAsia="Times New Roman" w:cs="Tahoma"/>
                <w:b/>
                <w:bCs/>
                <w:color w:val="000000"/>
                <w:szCs w:val="16"/>
                <w:lang w:eastAsia="es-CR"/>
              </w:rPr>
            </w:pPr>
          </w:p>
        </w:tc>
        <w:tc>
          <w:tcPr>
            <w:tcW w:w="635" w:type="pct"/>
            <w:shd w:val="clear" w:color="auto" w:fill="auto"/>
            <w:hideMark/>
          </w:tcPr>
          <w:p w14:paraId="6ED6953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613" w:type="pct"/>
            <w:shd w:val="clear" w:color="auto" w:fill="auto"/>
          </w:tcPr>
          <w:p w14:paraId="3927C157"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No aplica</w:t>
            </w:r>
          </w:p>
        </w:tc>
      </w:tr>
      <w:tr w:rsidR="003855FD" w:rsidRPr="0073029B" w14:paraId="17DA8844" w14:textId="77777777" w:rsidTr="004D2834">
        <w:trPr>
          <w:trHeight w:val="20"/>
        </w:trPr>
        <w:tc>
          <w:tcPr>
            <w:tcW w:w="1387" w:type="pct"/>
            <w:gridSpan w:val="2"/>
            <w:shd w:val="clear" w:color="auto" w:fill="auto"/>
            <w:hideMark/>
          </w:tcPr>
          <w:p w14:paraId="0269B86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613" w:type="pct"/>
            <w:shd w:val="clear" w:color="auto" w:fill="auto"/>
          </w:tcPr>
          <w:p w14:paraId="2CD4A309"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Nacional 2019: 1.181,57</w:t>
            </w:r>
          </w:p>
          <w:p w14:paraId="747F52A8"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5392E55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Brunca: 1.092,75</w:t>
            </w:r>
          </w:p>
          <w:p w14:paraId="45748961"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Central: 1.168,27</w:t>
            </w:r>
          </w:p>
          <w:p w14:paraId="22C71B1E"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Chorotega: 1.210,65</w:t>
            </w:r>
          </w:p>
          <w:p w14:paraId="4B680F4F"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Huetar Caribe: 1.264,55</w:t>
            </w:r>
          </w:p>
          <w:p w14:paraId="7220397D"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Huetar Norte: 907,14</w:t>
            </w:r>
          </w:p>
          <w:p w14:paraId="594A70E9"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Pacífico Central: 1.647,83</w:t>
            </w:r>
          </w:p>
        </w:tc>
      </w:tr>
      <w:tr w:rsidR="003855FD" w:rsidRPr="0073029B" w14:paraId="242CD8E6" w14:textId="77777777" w:rsidTr="004D2834">
        <w:trPr>
          <w:trHeight w:val="20"/>
        </w:trPr>
        <w:tc>
          <w:tcPr>
            <w:tcW w:w="1387" w:type="pct"/>
            <w:gridSpan w:val="2"/>
            <w:shd w:val="clear" w:color="auto" w:fill="auto"/>
            <w:hideMark/>
          </w:tcPr>
          <w:p w14:paraId="35AA689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613" w:type="pct"/>
            <w:shd w:val="clear" w:color="auto" w:fill="auto"/>
            <w:vAlign w:val="center"/>
          </w:tcPr>
          <w:p w14:paraId="657AC15E"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Nacional</w:t>
            </w:r>
          </w:p>
          <w:p w14:paraId="3159178E"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Periodo 2023-2026:</w:t>
            </w:r>
          </w:p>
          <w:p w14:paraId="41E96559"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1.147,04 a 1.181,57</w:t>
            </w:r>
          </w:p>
          <w:p w14:paraId="31E1DB1A" w14:textId="77777777" w:rsidR="003855FD" w:rsidRPr="0073029B" w:rsidRDefault="003855FD" w:rsidP="004D2834">
            <w:pPr>
              <w:spacing w:after="0" w:line="240" w:lineRule="auto"/>
              <w:ind w:right="47"/>
              <w:rPr>
                <w:rFonts w:eastAsia="Times New Roman" w:cs="Tahoma"/>
                <w:color w:val="000000"/>
                <w:szCs w:val="16"/>
                <w:lang w:eastAsia="es-CR"/>
              </w:rPr>
            </w:pPr>
          </w:p>
          <w:p w14:paraId="409F5122"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Anual:</w:t>
            </w:r>
          </w:p>
          <w:p w14:paraId="3AF85347"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2023: 1.181,57 a 1.204,55</w:t>
            </w:r>
          </w:p>
          <w:p w14:paraId="639FA109"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2024: 1.181,57 a 1.198,34</w:t>
            </w:r>
          </w:p>
          <w:p w14:paraId="7DF1B2BA"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2025: 1.181,57 a 1.192,16</w:t>
            </w:r>
          </w:p>
          <w:p w14:paraId="3C628F51"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2026: 1.147,04 a 1.181,57</w:t>
            </w:r>
          </w:p>
          <w:p w14:paraId="2C20F91C" w14:textId="77777777" w:rsidR="003855FD" w:rsidRPr="0073029B" w:rsidRDefault="003855FD" w:rsidP="004D2834">
            <w:pPr>
              <w:spacing w:after="0" w:line="240" w:lineRule="auto"/>
              <w:ind w:right="47"/>
              <w:rPr>
                <w:rFonts w:eastAsia="Times New Roman" w:cs="Tahoma"/>
                <w:color w:val="000000"/>
                <w:szCs w:val="16"/>
                <w:lang w:eastAsia="es-CR"/>
              </w:rPr>
            </w:pPr>
          </w:p>
          <w:p w14:paraId="0801631E"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Regional</w:t>
            </w:r>
          </w:p>
          <w:p w14:paraId="3844355D" w14:textId="77777777" w:rsidR="003855FD" w:rsidRPr="0073029B" w:rsidRDefault="003855FD" w:rsidP="004D2834">
            <w:pPr>
              <w:spacing w:after="0" w:line="240" w:lineRule="auto"/>
              <w:ind w:right="47"/>
              <w:rPr>
                <w:rFonts w:eastAsia="Times New Roman" w:cs="Tahoma"/>
                <w:color w:val="000000"/>
                <w:szCs w:val="16"/>
                <w:lang w:eastAsia="es-CR"/>
              </w:rPr>
            </w:pPr>
          </w:p>
          <w:p w14:paraId="2BC004DB"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Periodo 2023-2026:</w:t>
            </w:r>
          </w:p>
          <w:p w14:paraId="008717C2"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Brunca: 1.092,75 a 1.105,10</w:t>
            </w:r>
          </w:p>
          <w:p w14:paraId="59A72AEB"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Central: 1.168,27 a 1.176,68</w:t>
            </w:r>
          </w:p>
          <w:p w14:paraId="7D26511C"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Chorotega: 1.032,51 a 1.210,65</w:t>
            </w:r>
          </w:p>
          <w:p w14:paraId="42029F60"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Huetar Caribe: 1.200,78 a 1.264,55</w:t>
            </w:r>
          </w:p>
          <w:p w14:paraId="79A8F79E"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Huetar Norte: 751,64 a 907,14</w:t>
            </w:r>
          </w:p>
          <w:p w14:paraId="62306F1E"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Pacífico Central: 1.511,38 a 1.647,83</w:t>
            </w:r>
          </w:p>
          <w:p w14:paraId="7723C283" w14:textId="77777777" w:rsidR="003855FD" w:rsidRPr="0073029B" w:rsidRDefault="003855FD" w:rsidP="004D2834">
            <w:pPr>
              <w:spacing w:after="0" w:line="240" w:lineRule="auto"/>
              <w:ind w:right="47"/>
              <w:rPr>
                <w:rFonts w:eastAsia="Times New Roman" w:cs="Tahoma"/>
                <w:color w:val="000000"/>
                <w:szCs w:val="16"/>
                <w:lang w:eastAsia="es-CR"/>
              </w:rPr>
            </w:pPr>
          </w:p>
          <w:p w14:paraId="31EA1C05" w14:textId="77777777" w:rsidR="003855FD" w:rsidRPr="0073029B" w:rsidRDefault="003855FD" w:rsidP="004D2834">
            <w:pPr>
              <w:spacing w:after="0" w:line="240" w:lineRule="auto"/>
              <w:ind w:right="47"/>
              <w:rPr>
                <w:rFonts w:eastAsia="Times New Roman" w:cs="Tahoma"/>
                <w:color w:val="000000"/>
                <w:szCs w:val="16"/>
                <w:lang w:eastAsia="es-CR"/>
              </w:rPr>
            </w:pPr>
          </w:p>
          <w:p w14:paraId="7D41AC2D" w14:textId="77777777" w:rsidR="003855FD" w:rsidRPr="0073029B" w:rsidRDefault="003855FD" w:rsidP="004D2834">
            <w:pPr>
              <w:spacing w:after="0" w:line="240" w:lineRule="auto"/>
              <w:ind w:right="47"/>
              <w:rPr>
                <w:rFonts w:eastAsia="Times New Roman" w:cs="Tahoma"/>
                <w:color w:val="000000"/>
                <w:szCs w:val="16"/>
                <w:lang w:eastAsia="es-CR"/>
              </w:rPr>
            </w:pPr>
          </w:p>
          <w:p w14:paraId="5B773BAC"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lastRenderedPageBreak/>
              <w:t>2023:</w:t>
            </w:r>
          </w:p>
          <w:p w14:paraId="0839231C"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Brunca: 1.092,75 a 1.119,21</w:t>
            </w:r>
          </w:p>
          <w:p w14:paraId="130492AF"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Central: 1.168,27 a 1.244,95</w:t>
            </w:r>
          </w:p>
          <w:p w14:paraId="317C0F2E"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Chorotega: 1.087,39 a 1.210,65</w:t>
            </w:r>
          </w:p>
          <w:p w14:paraId="7F5F15BF"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Huetar Caribe: 1.228,16 a 1.264,55</w:t>
            </w:r>
          </w:p>
          <w:p w14:paraId="7DD24FDF"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Huetar Norte: 797,32 a 907,14</w:t>
            </w:r>
          </w:p>
          <w:p w14:paraId="084F1839"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Pacífico Central: 1.580,80 a 1.647,83</w:t>
            </w:r>
          </w:p>
          <w:p w14:paraId="5D610012" w14:textId="77777777" w:rsidR="003855FD" w:rsidRPr="0073029B" w:rsidRDefault="003855FD" w:rsidP="004D2834">
            <w:pPr>
              <w:spacing w:after="0" w:line="240" w:lineRule="auto"/>
              <w:ind w:right="47"/>
              <w:rPr>
                <w:rFonts w:eastAsia="Times New Roman" w:cs="Tahoma"/>
                <w:color w:val="000000"/>
                <w:szCs w:val="16"/>
                <w:lang w:eastAsia="es-CR"/>
              </w:rPr>
            </w:pPr>
          </w:p>
          <w:p w14:paraId="6D4CA9AC"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2024:</w:t>
            </w:r>
          </w:p>
          <w:p w14:paraId="31162458"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Brunca: 1.092,75 a 1.113,91</w:t>
            </w:r>
          </w:p>
          <w:p w14:paraId="397D1D5C"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Central: 1.168,27 a 1.244,54</w:t>
            </w:r>
          </w:p>
          <w:p w14:paraId="0FDC20A6"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Chorotega: 1.065,83 a 1.210,65</w:t>
            </w:r>
          </w:p>
          <w:p w14:paraId="0ADD4C10"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Huetar Caribe: 1.220,16 a 1.264,55</w:t>
            </w:r>
          </w:p>
          <w:p w14:paraId="66BBA76D"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Huetar Norte: 780,08 a 907,14</w:t>
            </w:r>
          </w:p>
          <w:p w14:paraId="4812E17B"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Pacífico Central: 1.555,68 a 1.647,83</w:t>
            </w:r>
          </w:p>
          <w:p w14:paraId="17610035" w14:textId="77777777" w:rsidR="003855FD" w:rsidRPr="0073029B" w:rsidRDefault="003855FD" w:rsidP="004D2834">
            <w:pPr>
              <w:spacing w:after="0" w:line="240" w:lineRule="auto"/>
              <w:ind w:right="47"/>
              <w:rPr>
                <w:rFonts w:eastAsia="Times New Roman" w:cs="Tahoma"/>
                <w:color w:val="000000"/>
                <w:szCs w:val="16"/>
                <w:lang w:eastAsia="es-CR"/>
              </w:rPr>
            </w:pPr>
          </w:p>
          <w:p w14:paraId="7F51A088"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2025:</w:t>
            </w:r>
          </w:p>
          <w:p w14:paraId="798872D8"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Brunca: 1.092,75 a 1.108,99</w:t>
            </w:r>
          </w:p>
          <w:p w14:paraId="02AAC8FA"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Central: 1.168,27 a 1.243,69</w:t>
            </w:r>
          </w:p>
          <w:p w14:paraId="6CECBFB6"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Chorotega: 1.045,80 a 1.210,65</w:t>
            </w:r>
          </w:p>
          <w:p w14:paraId="51839F5B"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Huetar Caribe: 1.212,37 a 1.264,55</w:t>
            </w:r>
          </w:p>
          <w:p w14:paraId="418548BD"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Huetar Norte: 764,03 a 907,14</w:t>
            </w:r>
          </w:p>
          <w:p w14:paraId="31445CF8"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Pacífico Central: 1.531,69 a 1.647,83</w:t>
            </w:r>
          </w:p>
          <w:p w14:paraId="26AF558F" w14:textId="77777777" w:rsidR="003855FD" w:rsidRPr="0073029B" w:rsidRDefault="003855FD" w:rsidP="004D2834">
            <w:pPr>
              <w:spacing w:after="0" w:line="240" w:lineRule="auto"/>
              <w:ind w:right="47"/>
              <w:rPr>
                <w:rFonts w:eastAsia="Times New Roman" w:cs="Tahoma"/>
                <w:color w:val="000000"/>
                <w:szCs w:val="16"/>
                <w:lang w:eastAsia="es-CR"/>
              </w:rPr>
            </w:pPr>
          </w:p>
          <w:p w14:paraId="2F722305"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2026</w:t>
            </w:r>
          </w:p>
          <w:p w14:paraId="48B64903"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Brunca: 1.092,75 a 1.105,10</w:t>
            </w:r>
          </w:p>
          <w:p w14:paraId="141BDBE6"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Central: 1.168,27 a 1.176,68</w:t>
            </w:r>
          </w:p>
          <w:p w14:paraId="0BCFB7F0"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Chorotega: 1.032,51 a 1.210,65</w:t>
            </w:r>
          </w:p>
          <w:p w14:paraId="3AD01A33"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Huetar Caribe: 1.200,78 a 1.264,55</w:t>
            </w:r>
          </w:p>
          <w:p w14:paraId="5C89F037"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Huetar Norte: 751,64 a 907,14</w:t>
            </w:r>
          </w:p>
          <w:p w14:paraId="32D15814"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Pacífico Central: 1.511,38 a 1.647,83</w:t>
            </w:r>
          </w:p>
        </w:tc>
      </w:tr>
      <w:tr w:rsidR="003855FD" w:rsidRPr="0073029B" w14:paraId="02ABFE38" w14:textId="77777777" w:rsidTr="004D2834">
        <w:trPr>
          <w:trHeight w:val="20"/>
        </w:trPr>
        <w:tc>
          <w:tcPr>
            <w:tcW w:w="1387" w:type="pct"/>
            <w:gridSpan w:val="2"/>
            <w:shd w:val="clear" w:color="auto" w:fill="auto"/>
            <w:hideMark/>
          </w:tcPr>
          <w:p w14:paraId="6789BD0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Periodicidad del PNDIP para el seguimiento</w:t>
            </w:r>
          </w:p>
        </w:tc>
        <w:tc>
          <w:tcPr>
            <w:tcW w:w="3613" w:type="pct"/>
            <w:shd w:val="clear" w:color="auto" w:fill="auto"/>
          </w:tcPr>
          <w:p w14:paraId="2A25AEB4"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Semestral y Anual</w:t>
            </w:r>
          </w:p>
        </w:tc>
      </w:tr>
      <w:tr w:rsidR="003855FD" w:rsidRPr="0073029B" w14:paraId="458E8AF3" w14:textId="77777777" w:rsidTr="004D2834">
        <w:trPr>
          <w:trHeight w:val="20"/>
        </w:trPr>
        <w:tc>
          <w:tcPr>
            <w:tcW w:w="1387" w:type="pct"/>
            <w:gridSpan w:val="2"/>
            <w:shd w:val="clear" w:color="auto" w:fill="auto"/>
            <w:hideMark/>
          </w:tcPr>
          <w:p w14:paraId="1B44611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613" w:type="pct"/>
            <w:shd w:val="clear" w:color="auto" w:fill="auto"/>
          </w:tcPr>
          <w:p w14:paraId="294E8D46"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Rectoría del Sector de Seguridad Ciudadana y Justicia, a partir de estadísticas de delitos publicadas por el Organismo de Investigación Judicial y estimaciones de población del Instituto Nacional de Estadísticas y Censos.</w:t>
            </w:r>
          </w:p>
        </w:tc>
      </w:tr>
      <w:tr w:rsidR="003855FD" w:rsidRPr="0073029B" w14:paraId="73D3A286" w14:textId="77777777" w:rsidTr="004D2834">
        <w:trPr>
          <w:trHeight w:val="368"/>
        </w:trPr>
        <w:tc>
          <w:tcPr>
            <w:tcW w:w="1387" w:type="pct"/>
            <w:gridSpan w:val="2"/>
            <w:shd w:val="clear" w:color="auto" w:fill="auto"/>
            <w:hideMark/>
          </w:tcPr>
          <w:p w14:paraId="087561E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613" w:type="pct"/>
            <w:shd w:val="clear" w:color="auto" w:fill="auto"/>
          </w:tcPr>
          <w:p w14:paraId="1A3A65D1" w14:textId="77777777" w:rsidR="003855FD" w:rsidRPr="0073029B" w:rsidRDefault="003855FD" w:rsidP="004D2834">
            <w:pPr>
              <w:spacing w:after="0" w:line="240" w:lineRule="auto"/>
              <w:ind w:right="47"/>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p>
          <w:p w14:paraId="4D60B68D"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(X) Efecto.</w:t>
            </w:r>
          </w:p>
          <w:p w14:paraId="12481ED6" w14:textId="77777777" w:rsidR="003855FD" w:rsidRPr="0073029B" w:rsidRDefault="003855FD" w:rsidP="004D2834">
            <w:pPr>
              <w:spacing w:after="0" w:line="240" w:lineRule="auto"/>
              <w:ind w:right="47"/>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Producto.</w:t>
            </w:r>
          </w:p>
        </w:tc>
      </w:tr>
      <w:tr w:rsidR="003855FD" w:rsidRPr="0073029B" w14:paraId="37ACBBEA" w14:textId="77777777" w:rsidTr="004D2834">
        <w:trPr>
          <w:trHeight w:val="20"/>
        </w:trPr>
        <w:tc>
          <w:tcPr>
            <w:tcW w:w="1387" w:type="pct"/>
            <w:gridSpan w:val="2"/>
            <w:shd w:val="clear" w:color="auto" w:fill="auto"/>
            <w:hideMark/>
          </w:tcPr>
          <w:p w14:paraId="190EE40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613" w:type="pct"/>
            <w:shd w:val="clear" w:color="auto" w:fill="auto"/>
          </w:tcPr>
          <w:p w14:paraId="6B4E58AC"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Tasa</w:t>
            </w:r>
          </w:p>
        </w:tc>
      </w:tr>
      <w:tr w:rsidR="003855FD" w:rsidRPr="0073029B" w14:paraId="2F1BB178" w14:textId="77777777" w:rsidTr="004D2834">
        <w:trPr>
          <w:trHeight w:val="20"/>
        </w:trPr>
        <w:tc>
          <w:tcPr>
            <w:tcW w:w="1387" w:type="pct"/>
            <w:gridSpan w:val="2"/>
            <w:shd w:val="clear" w:color="auto" w:fill="auto"/>
            <w:hideMark/>
          </w:tcPr>
          <w:p w14:paraId="78B1DC8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 Sostenible (ODS) vinculado</w:t>
            </w:r>
          </w:p>
        </w:tc>
        <w:tc>
          <w:tcPr>
            <w:tcW w:w="3613" w:type="pct"/>
            <w:shd w:val="clear" w:color="auto" w:fill="auto"/>
          </w:tcPr>
          <w:p w14:paraId="5A66A6D9"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16: 16.1.1</w:t>
            </w:r>
          </w:p>
        </w:tc>
      </w:tr>
      <w:tr w:rsidR="003855FD" w:rsidRPr="0073029B" w14:paraId="6C1B52BC" w14:textId="77777777" w:rsidTr="004D2834">
        <w:trPr>
          <w:trHeight w:val="20"/>
        </w:trPr>
        <w:tc>
          <w:tcPr>
            <w:tcW w:w="1387" w:type="pct"/>
            <w:gridSpan w:val="2"/>
            <w:shd w:val="clear" w:color="auto" w:fill="auto"/>
            <w:hideMark/>
          </w:tcPr>
          <w:p w14:paraId="54740BE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613" w:type="pct"/>
            <w:shd w:val="clear" w:color="auto" w:fill="auto"/>
          </w:tcPr>
          <w:p w14:paraId="02F894ED"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(X) Directa</w:t>
            </w:r>
          </w:p>
          <w:p w14:paraId="157607F1" w14:textId="77777777" w:rsidR="003855FD" w:rsidRPr="0073029B" w:rsidRDefault="003855FD" w:rsidP="004D2834">
            <w:pPr>
              <w:spacing w:after="0" w:line="240" w:lineRule="auto"/>
              <w:ind w:right="47"/>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Indirecta</w:t>
            </w:r>
          </w:p>
        </w:tc>
      </w:tr>
      <w:tr w:rsidR="003855FD" w:rsidRPr="0073029B" w14:paraId="25DD82FA" w14:textId="77777777" w:rsidTr="004D2834">
        <w:trPr>
          <w:trHeight w:val="20"/>
        </w:trPr>
        <w:tc>
          <w:tcPr>
            <w:tcW w:w="1387" w:type="pct"/>
            <w:gridSpan w:val="2"/>
            <w:shd w:val="clear" w:color="auto" w:fill="auto"/>
            <w:hideMark/>
          </w:tcPr>
          <w:p w14:paraId="6F41F14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 de Montevideo</w:t>
            </w:r>
          </w:p>
        </w:tc>
        <w:tc>
          <w:tcPr>
            <w:tcW w:w="3613" w:type="pct"/>
            <w:shd w:val="clear" w:color="auto" w:fill="auto"/>
          </w:tcPr>
          <w:p w14:paraId="4FD1274D"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G: 79.</w:t>
            </w:r>
          </w:p>
        </w:tc>
      </w:tr>
      <w:tr w:rsidR="003855FD" w:rsidRPr="0073029B" w14:paraId="176A05A1" w14:textId="77777777" w:rsidTr="004D2834">
        <w:trPr>
          <w:trHeight w:val="20"/>
        </w:trPr>
        <w:tc>
          <w:tcPr>
            <w:tcW w:w="1387" w:type="pct"/>
            <w:gridSpan w:val="2"/>
            <w:shd w:val="clear" w:color="auto" w:fill="auto"/>
            <w:hideMark/>
          </w:tcPr>
          <w:p w14:paraId="3DF667A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w:t>
            </w:r>
            <w:r w:rsidRPr="0073029B">
              <w:rPr>
                <w:rFonts w:eastAsia="Times New Roman" w:cs="Tahoma"/>
                <w:b/>
                <w:bCs/>
                <w:color w:val="000000"/>
                <w:szCs w:val="16"/>
                <w:lang w:eastAsia="es-CR"/>
              </w:rPr>
              <w:br/>
              <w:t>Desarrollo</w:t>
            </w:r>
          </w:p>
        </w:tc>
        <w:tc>
          <w:tcPr>
            <w:tcW w:w="3613" w:type="pct"/>
            <w:shd w:val="clear" w:color="auto" w:fill="auto"/>
          </w:tcPr>
          <w:p w14:paraId="30F3E376"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No aplica</w:t>
            </w:r>
          </w:p>
        </w:tc>
      </w:tr>
      <w:tr w:rsidR="003855FD" w:rsidRPr="0073029B" w14:paraId="38714666" w14:textId="77777777" w:rsidTr="004D2834">
        <w:trPr>
          <w:trHeight w:val="20"/>
        </w:trPr>
        <w:tc>
          <w:tcPr>
            <w:tcW w:w="1387" w:type="pct"/>
            <w:gridSpan w:val="2"/>
            <w:shd w:val="clear" w:color="auto" w:fill="auto"/>
            <w:hideMark/>
          </w:tcPr>
          <w:p w14:paraId="5966AA3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613" w:type="pct"/>
            <w:shd w:val="clear" w:color="auto" w:fill="auto"/>
          </w:tcPr>
          <w:p w14:paraId="529CA059"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El indicador lo que permite es visualizar el comportamiento de hechos delictivos en periodos</w:t>
            </w:r>
          </w:p>
          <w:p w14:paraId="5DC06227"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específicos que oriente las acciones a realizar para la prevención y control.</w:t>
            </w:r>
          </w:p>
          <w:p w14:paraId="38825A9E"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7BDB412D"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Para el cálculo de la taza de delitos por cada cien mil habitantes se siguieron los siguientes</w:t>
            </w:r>
          </w:p>
          <w:p w14:paraId="25605D20"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pasos:</w:t>
            </w:r>
          </w:p>
          <w:p w14:paraId="7CE15F2D"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6D0D374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a. Se obtiene la suma anual de los delitos tipificados en las siguientes categorías delictivas:</w:t>
            </w:r>
          </w:p>
          <w:p w14:paraId="2F0EC1C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hurto, robo, asalto, robo de vehículo, tacha de vehículo y homicidio, a partir de los datos</w:t>
            </w:r>
          </w:p>
          <w:p w14:paraId="642C3260"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publicados por el OIJ.</w:t>
            </w:r>
          </w:p>
          <w:p w14:paraId="0E95733B"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b. Se obtiene la población total del país para el periodo 2015-2025, a partir del cuadro “Costa</w:t>
            </w:r>
          </w:p>
          <w:p w14:paraId="1672568F"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Rica: Población total proyectada al 30 de junio por grupos de edades, según región de</w:t>
            </w:r>
          </w:p>
          <w:p w14:paraId="3B6F614C"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lastRenderedPageBreak/>
              <w:t>planificación y sexo. 2011”, publicado por el Instituto Nacional de Estadística y Censos</w:t>
            </w:r>
          </w:p>
          <w:p w14:paraId="3AF48709"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(INEC). A partir de dicha información se proyecta la población esperada para el año 2026.</w:t>
            </w:r>
          </w:p>
          <w:p w14:paraId="51ED49B9"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 Con los datos supra citados, se calcula tasa de delitos a nivel nacional y por región por</w:t>
            </w:r>
          </w:p>
          <w:p w14:paraId="173215CD"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cada 100 cien mil habitantes para el periodo 2015-2022.</w:t>
            </w:r>
          </w:p>
          <w:p w14:paraId="777B19E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d. A partir de la cantidad de delitos por tipo y región, se establece la función matemática que</w:t>
            </w:r>
          </w:p>
          <w:p w14:paraId="489DE19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mejor describe la frecuencia absoluta con que ocurren los mismos, obteniéndose una</w:t>
            </w:r>
          </w:p>
          <w:p w14:paraId="6BE3ADD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ecuación logarítmica (escenario conservador) para cada tipo de delito para cada región, de</w:t>
            </w:r>
          </w:p>
          <w:p w14:paraId="1890674C"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la forma y = a*</w:t>
            </w:r>
            <w:proofErr w:type="spellStart"/>
            <w:r w:rsidRPr="0073029B">
              <w:rPr>
                <w:rFonts w:eastAsia="Times New Roman" w:cs="Tahoma"/>
                <w:color w:val="000000"/>
                <w:szCs w:val="16"/>
                <w:lang w:eastAsia="es-CR"/>
              </w:rPr>
              <w:t>Ln</w:t>
            </w:r>
            <w:proofErr w:type="spellEnd"/>
            <w:r w:rsidRPr="0073029B">
              <w:rPr>
                <w:rFonts w:eastAsia="Times New Roman" w:cs="Tahoma"/>
                <w:color w:val="000000"/>
                <w:szCs w:val="16"/>
                <w:lang w:eastAsia="es-CR"/>
              </w:rPr>
              <w:t xml:space="preserve"> (x)+b.</w:t>
            </w:r>
          </w:p>
          <w:p w14:paraId="76D79AF5"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4860ACBA"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Donde:</w:t>
            </w:r>
          </w:p>
          <w:p w14:paraId="3FCF41FF"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y = total de delitos por categoría delictiva.</w:t>
            </w:r>
          </w:p>
          <w:p w14:paraId="0D23B91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a = razón de crecimiento o decrecimiento, según categoría delictiva.</w:t>
            </w:r>
          </w:p>
          <w:p w14:paraId="2E807EF3" w14:textId="77777777" w:rsidR="003855FD" w:rsidRPr="0073029B" w:rsidRDefault="003855FD" w:rsidP="004D2834">
            <w:pPr>
              <w:spacing w:after="0" w:line="240" w:lineRule="auto"/>
              <w:ind w:right="47"/>
              <w:jc w:val="both"/>
              <w:rPr>
                <w:rFonts w:eastAsia="Times New Roman" w:cs="Tahoma"/>
                <w:color w:val="000000"/>
                <w:szCs w:val="16"/>
                <w:lang w:eastAsia="es-CR"/>
              </w:rPr>
            </w:pPr>
            <w:proofErr w:type="spellStart"/>
            <w:r w:rsidRPr="0073029B">
              <w:rPr>
                <w:rFonts w:eastAsia="Times New Roman" w:cs="Tahoma"/>
                <w:color w:val="000000"/>
                <w:szCs w:val="16"/>
                <w:lang w:eastAsia="es-CR"/>
              </w:rPr>
              <w:t>Ln</w:t>
            </w:r>
            <w:proofErr w:type="spellEnd"/>
            <w:r w:rsidRPr="0073029B">
              <w:rPr>
                <w:rFonts w:eastAsia="Times New Roman" w:cs="Tahoma"/>
                <w:color w:val="000000"/>
                <w:szCs w:val="16"/>
                <w:lang w:eastAsia="es-CR"/>
              </w:rPr>
              <w:t xml:space="preserve"> = Logaritmo natural.</w:t>
            </w:r>
          </w:p>
          <w:p w14:paraId="1292F0B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x = Periodos transcurridos desde el año 2015, donde 2015 = 1</w:t>
            </w:r>
          </w:p>
          <w:p w14:paraId="2A297E6A"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b = cantidad de delitos esperados para el período 1.</w:t>
            </w:r>
          </w:p>
          <w:p w14:paraId="14E36B7F"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739FA972"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 Para el cálculo de la ecuación que describe la cantidad regional por tipo de delitos se</w:t>
            </w:r>
          </w:p>
          <w:p w14:paraId="4F34711A"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utiliza el periodo 2015-2019, ya que para los años 2020, 2021 y 2022, los datos disponibles</w:t>
            </w:r>
          </w:p>
          <w:p w14:paraId="29E3C17F"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reflejan patrones distorsionados atribuibles a las medidas tomadas durante el periodo de</w:t>
            </w:r>
          </w:p>
          <w:p w14:paraId="2182F0D1"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pandemia 2020-2022.</w:t>
            </w:r>
          </w:p>
          <w:p w14:paraId="375D46F0"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 Para el cálculo de la ecuación que describe la cantidad regional de homicidios (a</w:t>
            </w:r>
          </w:p>
          <w:p w14:paraId="107723D5"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excepción de la región Central) se utiliza el periodo 2015-2022, por no observarse</w:t>
            </w:r>
          </w:p>
          <w:p w14:paraId="45A65029"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distorsiones en su tendencia atribuibles a las medidas tomadas durante el periodo de</w:t>
            </w:r>
          </w:p>
          <w:p w14:paraId="185E0E10"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pandemia 2020-2022.</w:t>
            </w:r>
          </w:p>
          <w:p w14:paraId="6B4E3521"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3259317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g. Con la ecuación que describe la cantidad de delitos según tipo y región, se proyecta la</w:t>
            </w:r>
          </w:p>
          <w:p w14:paraId="22CB937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cantidad de delitos esperados para los años 2023, 2024, 2025 y 2026.</w:t>
            </w:r>
          </w:p>
          <w:p w14:paraId="76E467DC"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h. Para calcular la tasa nacional de delitos se suman la cantidad de delitos proyectados por</w:t>
            </w:r>
          </w:p>
          <w:p w14:paraId="33714EE5"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tipo de delito por región y se dividen entre el total de la población nacional.</w:t>
            </w:r>
          </w:p>
          <w:p w14:paraId="1CEC774B"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i. Para calcular la tasa de delitos regional se toma la cantidad de delitos proyectados por tipo</w:t>
            </w:r>
          </w:p>
          <w:p w14:paraId="36A93264"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de delitos, por región y se dividen entre el total de la población de cada región.</w:t>
            </w:r>
          </w:p>
          <w:p w14:paraId="13FEFE5F" w14:textId="77777777" w:rsidR="003855FD" w:rsidRPr="0073029B" w:rsidRDefault="003855FD" w:rsidP="004D2834">
            <w:pPr>
              <w:spacing w:after="0" w:line="240" w:lineRule="auto"/>
              <w:ind w:right="47"/>
              <w:jc w:val="both"/>
              <w:rPr>
                <w:rFonts w:eastAsia="Times New Roman" w:cs="Tahoma"/>
                <w:color w:val="000000"/>
                <w:szCs w:val="16"/>
                <w:lang w:eastAsia="es-CR"/>
              </w:rPr>
            </w:pPr>
          </w:p>
        </w:tc>
      </w:tr>
      <w:tr w:rsidR="003855FD" w:rsidRPr="0073029B" w14:paraId="10608DF3" w14:textId="77777777" w:rsidTr="004D2834">
        <w:trPr>
          <w:trHeight w:val="20"/>
        </w:trPr>
        <w:tc>
          <w:tcPr>
            <w:tcW w:w="1387" w:type="pct"/>
            <w:gridSpan w:val="2"/>
            <w:shd w:val="clear" w:color="auto" w:fill="003A70"/>
            <w:hideMark/>
          </w:tcPr>
          <w:p w14:paraId="6CA6804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lastRenderedPageBreak/>
              <w:t xml:space="preserve">Control de actualizaciones del indicador </w:t>
            </w:r>
          </w:p>
        </w:tc>
        <w:tc>
          <w:tcPr>
            <w:tcW w:w="3613" w:type="pct"/>
            <w:shd w:val="clear" w:color="auto" w:fill="auto"/>
          </w:tcPr>
          <w:p w14:paraId="4A934F9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No se han realizado modificaciones.</w:t>
            </w:r>
          </w:p>
        </w:tc>
      </w:tr>
    </w:tbl>
    <w:p w14:paraId="63326B0F" w14:textId="77777777" w:rsidR="003855FD" w:rsidRPr="0073029B" w:rsidRDefault="003855FD" w:rsidP="003855FD">
      <w:pPr>
        <w:pStyle w:val="Default"/>
        <w:jc w:val="both"/>
        <w:rPr>
          <w:rFonts w:ascii="Tahoma" w:eastAsia="Arial Narrow" w:hAnsi="Tahoma" w:cs="Tahoma"/>
          <w:sz w:val="16"/>
        </w:rPr>
      </w:pPr>
      <w:r w:rsidRPr="0073029B">
        <w:rPr>
          <w:rFonts w:ascii="Tahoma" w:eastAsia="Arial Narrow" w:hAnsi="Tahoma" w:cs="Tahoma"/>
          <w:sz w:val="16"/>
        </w:rPr>
        <w:t>Fuente: Elaboración de la Secretaría de Planificación Sectorial e Institucional del Ministerio de Justicia y Paz, a partir de la información publicada por el Organismo de Investigación Judicial (OIJ) y el Instituto Nacional de Estadísticas y Censos (INEC). Julio 2022.</w:t>
      </w:r>
    </w:p>
    <w:p w14:paraId="2041F8BD" w14:textId="77777777" w:rsidR="003855FD" w:rsidRDefault="003855FD" w:rsidP="003855FD">
      <w:pPr>
        <w:rPr>
          <w:rFonts w:cs="Tahoma"/>
        </w:rPr>
      </w:pPr>
    </w:p>
    <w:p w14:paraId="1DF03FC8" w14:textId="77777777" w:rsidR="003855FD" w:rsidRPr="0073029B" w:rsidRDefault="003855FD" w:rsidP="003855FD">
      <w:pPr>
        <w:spacing w:line="276" w:lineRule="auto"/>
        <w:jc w:val="both"/>
        <w:rPr>
          <w:rFonts w:cs="Tahoma"/>
        </w:rPr>
      </w:pPr>
      <w:r w:rsidRPr="0073029B">
        <w:rPr>
          <w:rFonts w:cs="Tahoma"/>
          <w:b/>
          <w:sz w:val="18"/>
          <w:szCs w:val="18"/>
        </w:rPr>
        <w:t>Objetivo sectorial</w:t>
      </w:r>
      <w:r w:rsidRPr="0073029B">
        <w:rPr>
          <w:rFonts w:cs="Tahoma"/>
          <w:sz w:val="18"/>
          <w:szCs w:val="18"/>
        </w:rPr>
        <w:t>: Ejecutar la Estrategia Nacional para el combate del Acoso y Hostigamiento Sexual contra las Mujeres, en el marco de la Política Nacional PLANOVI (Política Nacional para la atención, prevención y protección de la violencia contra las mujeres de todas las edades 2017-2032).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152"/>
        <w:gridCol w:w="6802"/>
      </w:tblGrid>
      <w:tr w:rsidR="003855FD" w:rsidRPr="0073029B" w14:paraId="471AD553" w14:textId="77777777" w:rsidTr="004D2834">
        <w:trPr>
          <w:trHeight w:val="20"/>
          <w:tblHeader/>
        </w:trPr>
        <w:tc>
          <w:tcPr>
            <w:tcW w:w="1387" w:type="pct"/>
            <w:gridSpan w:val="2"/>
            <w:shd w:val="clear" w:color="000000" w:fill="D9D9D9"/>
            <w:vAlign w:val="center"/>
            <w:hideMark/>
          </w:tcPr>
          <w:p w14:paraId="24CB9C52"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613" w:type="pct"/>
            <w:shd w:val="clear" w:color="000000" w:fill="D9D9D9"/>
            <w:vAlign w:val="center"/>
            <w:hideMark/>
          </w:tcPr>
          <w:p w14:paraId="3238C643"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1C566F18" w14:textId="77777777" w:rsidTr="004D2834">
        <w:trPr>
          <w:trHeight w:val="20"/>
        </w:trPr>
        <w:tc>
          <w:tcPr>
            <w:tcW w:w="1387" w:type="pct"/>
            <w:gridSpan w:val="2"/>
            <w:shd w:val="clear" w:color="auto" w:fill="003A70"/>
            <w:hideMark/>
          </w:tcPr>
          <w:p w14:paraId="6B76BAF3"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613" w:type="pct"/>
            <w:shd w:val="clear" w:color="auto" w:fill="003A70"/>
          </w:tcPr>
          <w:p w14:paraId="44EEE866" w14:textId="77777777" w:rsidR="003855FD" w:rsidRPr="0073029B" w:rsidRDefault="003855FD" w:rsidP="004D2834">
            <w:pPr>
              <w:spacing w:after="0"/>
              <w:jc w:val="both"/>
              <w:rPr>
                <w:rFonts w:eastAsia="Times New Roman" w:cs="Tahoma"/>
                <w:b/>
                <w:color w:val="FFFFFF" w:themeColor="background1"/>
                <w:lang w:eastAsia="es-CR"/>
              </w:rPr>
            </w:pPr>
            <w:r w:rsidRPr="0073029B">
              <w:rPr>
                <w:rFonts w:eastAsia="Times New Roman" w:cs="Tahoma"/>
                <w:b/>
                <w:color w:val="FFFFFF" w:themeColor="background1"/>
                <w:lang w:eastAsia="es-CR"/>
              </w:rPr>
              <w:t>Porcentaje de avance en la ejecución de la Estrategia Nacional para el Combate del Acoso y Hostigamiento Sexual contra las Mujeres, con respecto a los cinco ejes de trabajo. (RUTA DE GÉNERO)</w:t>
            </w:r>
          </w:p>
        </w:tc>
      </w:tr>
      <w:tr w:rsidR="003855FD" w:rsidRPr="0073029B" w14:paraId="5A57FBC0" w14:textId="77777777" w:rsidTr="004D2834">
        <w:trPr>
          <w:trHeight w:val="20"/>
        </w:trPr>
        <w:tc>
          <w:tcPr>
            <w:tcW w:w="1387" w:type="pct"/>
            <w:gridSpan w:val="2"/>
            <w:shd w:val="clear" w:color="auto" w:fill="auto"/>
            <w:hideMark/>
          </w:tcPr>
          <w:p w14:paraId="3AF09D9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613" w:type="pct"/>
            <w:shd w:val="clear" w:color="auto" w:fill="auto"/>
          </w:tcPr>
          <w:p w14:paraId="3BDBB58D"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La Estrategia Nacional para el combate del Acoso y Hostigamiento Sexual contra las Mujeres</w:t>
            </w:r>
          </w:p>
          <w:p w14:paraId="76D0C56D"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está destinada al fortalecimiento de las acciones de información, orientación y</w:t>
            </w:r>
          </w:p>
          <w:p w14:paraId="4232D352"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acompañamiento para las mujeres víctimas de acoso y hostigamiento sexual. Asimismo,</w:t>
            </w:r>
          </w:p>
          <w:p w14:paraId="32E1B9D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estará enfocada en la prevención de este tipo de violencia que sufren mayoritariamente las</w:t>
            </w:r>
          </w:p>
          <w:p w14:paraId="18A37122"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mujeres a través de campañas de comunicación que permitan la concientización de este</w:t>
            </w:r>
          </w:p>
          <w:p w14:paraId="5137DAC6"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flagelo y su impacto en la vida de miles de mujeres que ven violentados sus derechos</w:t>
            </w:r>
          </w:p>
          <w:p w14:paraId="66D0CB5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fundamentales a una vida libre de violencia. Esta Estrategia permitirá fortalecer los</w:t>
            </w:r>
          </w:p>
          <w:p w14:paraId="7315107B"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mecanismos de seguridad y garantizar el acceso a la justicia por parte de las mujeres.</w:t>
            </w:r>
          </w:p>
          <w:p w14:paraId="0A263D04"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La estrategia contemplará los siguientes ejes de actuación:</w:t>
            </w:r>
          </w:p>
          <w:p w14:paraId="77FF7F84" w14:textId="77777777" w:rsidR="003855FD" w:rsidRPr="0073029B" w:rsidRDefault="003855FD" w:rsidP="00F32094">
            <w:pPr>
              <w:pStyle w:val="Prrafodelista"/>
              <w:numPr>
                <w:ilvl w:val="0"/>
                <w:numId w:val="5"/>
              </w:num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Centros de Atención, primeros auxilios psicológicos y asesoría para para denuncia</w:t>
            </w:r>
          </w:p>
          <w:p w14:paraId="1FCBEC95" w14:textId="77777777" w:rsidR="003855FD" w:rsidRPr="0073029B" w:rsidRDefault="003855FD" w:rsidP="00F32094">
            <w:pPr>
              <w:pStyle w:val="Prrafodelista"/>
              <w:numPr>
                <w:ilvl w:val="0"/>
                <w:numId w:val="5"/>
              </w:num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Mecanismos de ayuda y espacios seguros</w:t>
            </w:r>
          </w:p>
          <w:p w14:paraId="6D3FCCE5" w14:textId="77777777" w:rsidR="003855FD" w:rsidRPr="0073029B" w:rsidRDefault="003855FD" w:rsidP="00F32094">
            <w:pPr>
              <w:pStyle w:val="Prrafodelista"/>
              <w:numPr>
                <w:ilvl w:val="0"/>
                <w:numId w:val="5"/>
              </w:num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Campañas de información y prevención</w:t>
            </w:r>
          </w:p>
          <w:p w14:paraId="43A452F2" w14:textId="77777777" w:rsidR="003855FD" w:rsidRPr="0073029B" w:rsidRDefault="003855FD" w:rsidP="00F32094">
            <w:pPr>
              <w:pStyle w:val="Prrafodelista"/>
              <w:numPr>
                <w:ilvl w:val="0"/>
                <w:numId w:val="5"/>
              </w:num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Fortalecimiento de mecanismos e instrumentos normativos</w:t>
            </w:r>
          </w:p>
          <w:p w14:paraId="120EDB2B"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5EFABE8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lastRenderedPageBreak/>
              <w:t>En el proceso de atención la usuaria es la protagonista y el equipo de profesionales asume</w:t>
            </w:r>
          </w:p>
          <w:p w14:paraId="546B82C7"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la intervención partiendo de las necesidades de atención de la usuaria. Sus competencias</w:t>
            </w:r>
          </w:p>
          <w:p w14:paraId="3B84E84E"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serán:</w:t>
            </w:r>
          </w:p>
          <w:p w14:paraId="74D0D445"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A) Brindar información acerca de:</w:t>
            </w:r>
          </w:p>
          <w:p w14:paraId="0A6C5667" w14:textId="77777777" w:rsidR="003855FD" w:rsidRPr="0073029B" w:rsidRDefault="003855FD" w:rsidP="00F32094">
            <w:pPr>
              <w:pStyle w:val="Prrafodelista"/>
              <w:numPr>
                <w:ilvl w:val="2"/>
                <w:numId w:val="4"/>
              </w:numPr>
              <w:spacing w:after="0" w:line="240" w:lineRule="auto"/>
              <w:ind w:left="890" w:right="47" w:hanging="425"/>
              <w:jc w:val="both"/>
              <w:rPr>
                <w:rFonts w:eastAsia="Times New Roman" w:cs="Tahoma"/>
                <w:color w:val="000000"/>
                <w:szCs w:val="16"/>
                <w:lang w:eastAsia="es-CR"/>
              </w:rPr>
            </w:pPr>
            <w:r w:rsidRPr="0073029B">
              <w:rPr>
                <w:rFonts w:eastAsia="Times New Roman" w:cs="Tahoma"/>
                <w:color w:val="000000"/>
                <w:szCs w:val="16"/>
                <w:lang w:eastAsia="es-CR"/>
              </w:rPr>
              <w:t>Leyes que las protegen</w:t>
            </w:r>
          </w:p>
          <w:p w14:paraId="793B604B" w14:textId="77777777" w:rsidR="003855FD" w:rsidRPr="0073029B" w:rsidRDefault="003855FD" w:rsidP="00F32094">
            <w:pPr>
              <w:pStyle w:val="Prrafodelista"/>
              <w:numPr>
                <w:ilvl w:val="2"/>
                <w:numId w:val="4"/>
              </w:numPr>
              <w:spacing w:after="0" w:line="240" w:lineRule="auto"/>
              <w:ind w:left="890" w:right="47" w:hanging="425"/>
              <w:jc w:val="both"/>
              <w:rPr>
                <w:rFonts w:eastAsia="Times New Roman" w:cs="Tahoma"/>
                <w:color w:val="000000"/>
                <w:szCs w:val="16"/>
                <w:lang w:eastAsia="es-CR"/>
              </w:rPr>
            </w:pPr>
            <w:r w:rsidRPr="0073029B">
              <w:rPr>
                <w:rFonts w:eastAsia="Times New Roman" w:cs="Tahoma"/>
                <w:color w:val="000000"/>
                <w:szCs w:val="16"/>
                <w:lang w:eastAsia="es-CR"/>
              </w:rPr>
              <w:t>Recursos y opciones institucionales existentes</w:t>
            </w:r>
          </w:p>
          <w:p w14:paraId="75EA03E5" w14:textId="77777777" w:rsidR="003855FD" w:rsidRPr="0073029B" w:rsidRDefault="003855FD" w:rsidP="00F32094">
            <w:pPr>
              <w:pStyle w:val="Prrafodelista"/>
              <w:numPr>
                <w:ilvl w:val="2"/>
                <w:numId w:val="4"/>
              </w:numPr>
              <w:spacing w:after="0" w:line="240" w:lineRule="auto"/>
              <w:ind w:left="890" w:right="47" w:hanging="425"/>
              <w:jc w:val="both"/>
              <w:rPr>
                <w:rFonts w:eastAsia="Times New Roman" w:cs="Tahoma"/>
                <w:color w:val="000000"/>
                <w:szCs w:val="16"/>
                <w:lang w:eastAsia="es-CR"/>
              </w:rPr>
            </w:pPr>
            <w:r w:rsidRPr="0073029B">
              <w:rPr>
                <w:rFonts w:eastAsia="Times New Roman" w:cs="Tahoma"/>
                <w:color w:val="000000"/>
                <w:szCs w:val="16"/>
                <w:lang w:eastAsia="es-CR"/>
              </w:rPr>
              <w:t>Medidas cautelares</w:t>
            </w:r>
          </w:p>
          <w:p w14:paraId="2DA462B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B) Brindar primero auxilios psicológicos: Esto es:</w:t>
            </w:r>
          </w:p>
          <w:p w14:paraId="166B4645" w14:textId="77777777" w:rsidR="003855FD" w:rsidRPr="0073029B" w:rsidRDefault="003855FD" w:rsidP="00F32094">
            <w:pPr>
              <w:pStyle w:val="Prrafodelista"/>
              <w:numPr>
                <w:ilvl w:val="2"/>
                <w:numId w:val="4"/>
              </w:numPr>
              <w:spacing w:after="0" w:line="240" w:lineRule="auto"/>
              <w:ind w:left="890" w:right="47" w:hanging="425"/>
              <w:jc w:val="both"/>
              <w:rPr>
                <w:rFonts w:eastAsia="Times New Roman" w:cs="Tahoma"/>
                <w:color w:val="000000"/>
                <w:szCs w:val="16"/>
                <w:lang w:eastAsia="es-CR"/>
              </w:rPr>
            </w:pPr>
            <w:r w:rsidRPr="0073029B">
              <w:rPr>
                <w:rFonts w:eastAsia="Times New Roman" w:cs="Tahoma"/>
                <w:color w:val="000000"/>
                <w:szCs w:val="16"/>
                <w:lang w:eastAsia="es-CR"/>
              </w:rPr>
              <w:t>Atención a la víctima para abordar la alteración del estado general de bienestar personal</w:t>
            </w:r>
          </w:p>
          <w:p w14:paraId="2C73855B"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 Referencia para el acompañamiento y representación legal</w:t>
            </w:r>
          </w:p>
          <w:p w14:paraId="66CFC80D" w14:textId="77777777" w:rsidR="003855FD" w:rsidRPr="0073029B" w:rsidRDefault="003855FD" w:rsidP="00F32094">
            <w:pPr>
              <w:pStyle w:val="Prrafodelista"/>
              <w:numPr>
                <w:ilvl w:val="2"/>
                <w:numId w:val="4"/>
              </w:numPr>
              <w:spacing w:after="0" w:line="240" w:lineRule="auto"/>
              <w:ind w:left="890" w:right="47" w:hanging="425"/>
              <w:jc w:val="both"/>
              <w:rPr>
                <w:rFonts w:eastAsia="Times New Roman" w:cs="Tahoma"/>
                <w:color w:val="000000"/>
                <w:szCs w:val="16"/>
                <w:lang w:eastAsia="es-CR"/>
              </w:rPr>
            </w:pPr>
            <w:r w:rsidRPr="0073029B">
              <w:rPr>
                <w:rFonts w:eastAsia="Times New Roman" w:cs="Tahoma"/>
                <w:color w:val="000000"/>
                <w:szCs w:val="16"/>
                <w:lang w:eastAsia="es-CR"/>
              </w:rPr>
              <w:t>Para casos judiciales</w:t>
            </w:r>
          </w:p>
          <w:p w14:paraId="4C3A8C50" w14:textId="77777777" w:rsidR="003855FD" w:rsidRPr="0073029B" w:rsidRDefault="003855FD" w:rsidP="00F32094">
            <w:pPr>
              <w:pStyle w:val="Prrafodelista"/>
              <w:numPr>
                <w:ilvl w:val="2"/>
                <w:numId w:val="4"/>
              </w:numPr>
              <w:spacing w:after="0" w:line="240" w:lineRule="auto"/>
              <w:ind w:left="890" w:right="47" w:hanging="425"/>
              <w:jc w:val="both"/>
              <w:rPr>
                <w:rFonts w:eastAsia="Times New Roman" w:cs="Tahoma"/>
                <w:color w:val="000000"/>
                <w:szCs w:val="16"/>
                <w:lang w:eastAsia="es-CR"/>
              </w:rPr>
            </w:pPr>
            <w:r w:rsidRPr="0073029B">
              <w:rPr>
                <w:rFonts w:eastAsia="Times New Roman" w:cs="Tahoma"/>
                <w:color w:val="000000"/>
                <w:szCs w:val="16"/>
                <w:lang w:eastAsia="es-CR"/>
              </w:rPr>
              <w:t>Se activa el Sistema de Referencia con las Oficinas Regionales del INAMU</w:t>
            </w:r>
          </w:p>
          <w:p w14:paraId="7D25C0FC" w14:textId="77777777" w:rsidR="003855FD" w:rsidRPr="0073029B" w:rsidRDefault="003855FD" w:rsidP="00F32094">
            <w:pPr>
              <w:pStyle w:val="Prrafodelista"/>
              <w:numPr>
                <w:ilvl w:val="2"/>
                <w:numId w:val="4"/>
              </w:numPr>
              <w:spacing w:after="0" w:line="240" w:lineRule="auto"/>
              <w:ind w:left="890" w:right="47" w:hanging="425"/>
              <w:jc w:val="both"/>
              <w:rPr>
                <w:rFonts w:eastAsia="Times New Roman" w:cs="Tahoma"/>
                <w:color w:val="000000"/>
                <w:szCs w:val="16"/>
                <w:lang w:eastAsia="es-CR"/>
              </w:rPr>
            </w:pPr>
            <w:r w:rsidRPr="0073029B">
              <w:rPr>
                <w:rFonts w:eastAsia="Times New Roman" w:cs="Tahoma"/>
                <w:color w:val="000000"/>
                <w:szCs w:val="16"/>
                <w:lang w:eastAsia="es-CR"/>
              </w:rPr>
              <w:t>Aumento del personal en las regiones Brunca, Huetar Caribe, Huetar Norte, Chorotega y Pacífico en 8 adicionales profesionales en derecho y en la Región Central Oriental y Occidental en 5 adicionales en cada una.</w:t>
            </w:r>
          </w:p>
          <w:p w14:paraId="2C698147"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D) Referencia y/o traslado de la denuncia a otras Instancias pertinentes</w:t>
            </w:r>
          </w:p>
          <w:p w14:paraId="669152D6" w14:textId="77777777" w:rsidR="003855FD" w:rsidRPr="0073029B" w:rsidRDefault="003855FD" w:rsidP="00F32094">
            <w:pPr>
              <w:pStyle w:val="Prrafodelista"/>
              <w:numPr>
                <w:ilvl w:val="2"/>
                <w:numId w:val="4"/>
              </w:numPr>
              <w:spacing w:after="0" w:line="240" w:lineRule="auto"/>
              <w:ind w:left="890" w:right="47" w:hanging="425"/>
              <w:jc w:val="both"/>
              <w:rPr>
                <w:rFonts w:eastAsia="Times New Roman" w:cs="Tahoma"/>
                <w:color w:val="000000"/>
                <w:szCs w:val="16"/>
                <w:lang w:eastAsia="es-CR"/>
              </w:rPr>
            </w:pPr>
            <w:r w:rsidRPr="0073029B">
              <w:rPr>
                <w:rFonts w:eastAsia="Times New Roman" w:cs="Tahoma"/>
                <w:color w:val="000000"/>
                <w:szCs w:val="16"/>
                <w:lang w:eastAsia="es-CR"/>
              </w:rPr>
              <w:t>Se activa protocolos y normativa interna de cada institución</w:t>
            </w:r>
          </w:p>
          <w:p w14:paraId="7023D7F8" w14:textId="77777777" w:rsidR="003855FD" w:rsidRPr="0073029B" w:rsidRDefault="003855FD" w:rsidP="00F32094">
            <w:pPr>
              <w:pStyle w:val="Prrafodelista"/>
              <w:numPr>
                <w:ilvl w:val="2"/>
                <w:numId w:val="4"/>
              </w:numPr>
              <w:spacing w:after="0" w:line="240" w:lineRule="auto"/>
              <w:ind w:left="890" w:right="47" w:hanging="425"/>
              <w:jc w:val="both"/>
              <w:rPr>
                <w:rFonts w:eastAsia="Times New Roman" w:cs="Tahoma"/>
                <w:color w:val="000000"/>
                <w:szCs w:val="16"/>
                <w:lang w:eastAsia="es-CR"/>
              </w:rPr>
            </w:pPr>
            <w:r w:rsidRPr="0073029B">
              <w:rPr>
                <w:rFonts w:eastAsia="Times New Roman" w:cs="Tahoma"/>
                <w:color w:val="000000"/>
                <w:szCs w:val="16"/>
                <w:lang w:eastAsia="es-CR"/>
              </w:rPr>
              <w:t>Se traslada a la organización, institución o dependencia, la denuncia para que se inicie el procedimiento administrativo según el reglamento interno; o bien se activa el protocolo de intervención policial o la ruta de denuncia del MTSS.</w:t>
            </w:r>
          </w:p>
          <w:p w14:paraId="2A214B71" w14:textId="77777777" w:rsidR="003855FD" w:rsidRPr="0073029B" w:rsidRDefault="003855FD" w:rsidP="00F32094">
            <w:pPr>
              <w:pStyle w:val="Prrafodelista"/>
              <w:numPr>
                <w:ilvl w:val="2"/>
                <w:numId w:val="4"/>
              </w:numPr>
              <w:spacing w:after="0" w:line="240" w:lineRule="auto"/>
              <w:ind w:left="890" w:right="47" w:hanging="425"/>
              <w:jc w:val="both"/>
              <w:rPr>
                <w:rFonts w:eastAsia="Times New Roman" w:cs="Tahoma"/>
                <w:color w:val="000000"/>
                <w:szCs w:val="16"/>
                <w:lang w:eastAsia="es-CR"/>
              </w:rPr>
            </w:pPr>
            <w:r w:rsidRPr="0073029B">
              <w:rPr>
                <w:rFonts w:eastAsia="Times New Roman" w:cs="Tahoma"/>
                <w:color w:val="000000"/>
                <w:szCs w:val="16"/>
                <w:lang w:eastAsia="es-CR"/>
              </w:rPr>
              <w:t>En casos especiales se coordina en sitio la intervención del profesional en derecho para dar trámite a la denuncia en sede judicial.</w:t>
            </w:r>
          </w:p>
        </w:tc>
      </w:tr>
      <w:tr w:rsidR="003855FD" w:rsidRPr="0073029B" w14:paraId="7AB0C247" w14:textId="77777777" w:rsidTr="004D2834">
        <w:trPr>
          <w:trHeight w:val="20"/>
        </w:trPr>
        <w:tc>
          <w:tcPr>
            <w:tcW w:w="1387" w:type="pct"/>
            <w:gridSpan w:val="2"/>
            <w:shd w:val="clear" w:color="auto" w:fill="auto"/>
            <w:hideMark/>
          </w:tcPr>
          <w:p w14:paraId="7C61DC7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 xml:space="preserve">Fórmula de cálculo </w:t>
            </w:r>
          </w:p>
        </w:tc>
        <w:tc>
          <w:tcPr>
            <w:tcW w:w="3613" w:type="pct"/>
            <w:shd w:val="clear" w:color="auto" w:fill="auto"/>
          </w:tcPr>
          <w:p w14:paraId="5153109A"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Σ(X1+X2+X3+X4) *100 = Y</w:t>
            </w:r>
          </w:p>
        </w:tc>
      </w:tr>
      <w:tr w:rsidR="003855FD" w:rsidRPr="0073029B" w14:paraId="4AC4556E" w14:textId="77777777" w:rsidTr="004D2834">
        <w:trPr>
          <w:trHeight w:val="20"/>
        </w:trPr>
        <w:tc>
          <w:tcPr>
            <w:tcW w:w="1387" w:type="pct"/>
            <w:gridSpan w:val="2"/>
            <w:shd w:val="clear" w:color="auto" w:fill="auto"/>
            <w:hideMark/>
          </w:tcPr>
          <w:p w14:paraId="6A1A11E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613" w:type="pct"/>
            <w:shd w:val="clear" w:color="auto" w:fill="auto"/>
          </w:tcPr>
          <w:p w14:paraId="052EC649"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Y= 100% de la estrategia implementada</w:t>
            </w:r>
          </w:p>
          <w:p w14:paraId="6E79846E"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46DA6CB7"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X1: Apertura y funcionamiento de 31 Centros de atención y apoyo en Región Chorotega,</w:t>
            </w:r>
          </w:p>
          <w:p w14:paraId="448992F4"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Central (Oriente y Occidente); Brunca, Huetar Caribe, Huetar Norte y Pacífico Central.</w:t>
            </w:r>
          </w:p>
          <w:p w14:paraId="6CD778C0"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X2: Estrategia de comunicación implementada I y II fase</w:t>
            </w:r>
          </w:p>
          <w:p w14:paraId="21403CFC"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X3: Mecanismos de ayuda y espacios seguros funcionando</w:t>
            </w:r>
          </w:p>
          <w:p w14:paraId="3870644B"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X4: Fortalecidos mecanismos e instrumentos normativos afines.</w:t>
            </w:r>
          </w:p>
        </w:tc>
      </w:tr>
      <w:tr w:rsidR="003855FD" w:rsidRPr="0073029B" w14:paraId="51A7F86E" w14:textId="77777777" w:rsidTr="004D2834">
        <w:trPr>
          <w:trHeight w:val="20"/>
        </w:trPr>
        <w:tc>
          <w:tcPr>
            <w:tcW w:w="1387" w:type="pct"/>
            <w:gridSpan w:val="2"/>
            <w:shd w:val="clear" w:color="auto" w:fill="auto"/>
            <w:hideMark/>
          </w:tcPr>
          <w:p w14:paraId="690E420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613" w:type="pct"/>
            <w:shd w:val="clear" w:color="auto" w:fill="auto"/>
          </w:tcPr>
          <w:p w14:paraId="630854BE"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Estrategia implementada (PORCENTAJE)</w:t>
            </w:r>
          </w:p>
        </w:tc>
      </w:tr>
      <w:tr w:rsidR="003855FD" w:rsidRPr="0073029B" w14:paraId="480470C1" w14:textId="77777777" w:rsidTr="004D2834">
        <w:trPr>
          <w:trHeight w:val="368"/>
        </w:trPr>
        <w:tc>
          <w:tcPr>
            <w:tcW w:w="1387" w:type="pct"/>
            <w:gridSpan w:val="2"/>
            <w:shd w:val="clear" w:color="auto" w:fill="auto"/>
            <w:hideMark/>
          </w:tcPr>
          <w:p w14:paraId="33F2740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613" w:type="pct"/>
            <w:shd w:val="clear" w:color="auto" w:fill="auto"/>
          </w:tcPr>
          <w:p w14:paraId="7759B86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Directa positiva: A más ejes de la estrategia RUTA DE GENERO funcionando, aumentan las denuncias por parte de mujeres víctimas de violencia y se mejora el entorno de Seguridad Ciudadana para las mujeres.</w:t>
            </w:r>
          </w:p>
        </w:tc>
      </w:tr>
      <w:tr w:rsidR="003855FD" w:rsidRPr="0073029B" w14:paraId="4D05D245" w14:textId="77777777" w:rsidTr="004D2834">
        <w:trPr>
          <w:trHeight w:val="20"/>
        </w:trPr>
        <w:tc>
          <w:tcPr>
            <w:tcW w:w="752" w:type="pct"/>
            <w:vMerge w:val="restart"/>
            <w:shd w:val="clear" w:color="auto" w:fill="auto"/>
            <w:hideMark/>
          </w:tcPr>
          <w:p w14:paraId="6D66896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35" w:type="pct"/>
            <w:shd w:val="clear" w:color="auto" w:fill="auto"/>
            <w:hideMark/>
          </w:tcPr>
          <w:p w14:paraId="11B341B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613" w:type="pct"/>
            <w:shd w:val="clear" w:color="auto" w:fill="auto"/>
          </w:tcPr>
          <w:p w14:paraId="24EBD92D"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Regional:</w:t>
            </w:r>
          </w:p>
          <w:p w14:paraId="06F75DD5"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Chorotega</w:t>
            </w:r>
          </w:p>
          <w:p w14:paraId="5AD7569F"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Central (Oriente y Occidente)</w:t>
            </w:r>
          </w:p>
          <w:p w14:paraId="1222EBFA"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Huetar Caribe</w:t>
            </w:r>
          </w:p>
          <w:p w14:paraId="60C3A3F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Pacífico Central</w:t>
            </w:r>
          </w:p>
          <w:p w14:paraId="4C764C3E"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Región Huetar Norte</w:t>
            </w:r>
          </w:p>
          <w:p w14:paraId="7157B69E"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Región Brunca</w:t>
            </w:r>
          </w:p>
        </w:tc>
      </w:tr>
      <w:tr w:rsidR="003855FD" w:rsidRPr="0073029B" w14:paraId="552B1D01" w14:textId="77777777" w:rsidTr="004D2834">
        <w:trPr>
          <w:trHeight w:val="20"/>
        </w:trPr>
        <w:tc>
          <w:tcPr>
            <w:tcW w:w="752" w:type="pct"/>
            <w:vMerge/>
            <w:vAlign w:val="center"/>
            <w:hideMark/>
          </w:tcPr>
          <w:p w14:paraId="7360791B" w14:textId="77777777" w:rsidR="003855FD" w:rsidRPr="0073029B" w:rsidRDefault="003855FD" w:rsidP="004D2834">
            <w:pPr>
              <w:spacing w:after="0" w:line="240" w:lineRule="auto"/>
              <w:rPr>
                <w:rFonts w:eastAsia="Times New Roman" w:cs="Tahoma"/>
                <w:b/>
                <w:bCs/>
                <w:color w:val="000000"/>
                <w:szCs w:val="16"/>
                <w:lang w:eastAsia="es-CR"/>
              </w:rPr>
            </w:pPr>
          </w:p>
        </w:tc>
        <w:tc>
          <w:tcPr>
            <w:tcW w:w="635" w:type="pct"/>
            <w:shd w:val="clear" w:color="auto" w:fill="auto"/>
            <w:hideMark/>
          </w:tcPr>
          <w:p w14:paraId="5712EB0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613" w:type="pct"/>
            <w:shd w:val="clear" w:color="auto" w:fill="auto"/>
          </w:tcPr>
          <w:p w14:paraId="0BD067CF"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Género: 1. Propicia condiciones para la igualdad</w:t>
            </w:r>
          </w:p>
        </w:tc>
      </w:tr>
      <w:tr w:rsidR="003855FD" w:rsidRPr="0073029B" w14:paraId="11F333F0" w14:textId="77777777" w:rsidTr="004D2834">
        <w:trPr>
          <w:trHeight w:val="20"/>
        </w:trPr>
        <w:tc>
          <w:tcPr>
            <w:tcW w:w="1387" w:type="pct"/>
            <w:gridSpan w:val="2"/>
            <w:shd w:val="clear" w:color="auto" w:fill="auto"/>
            <w:hideMark/>
          </w:tcPr>
          <w:p w14:paraId="7204A10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613" w:type="pct"/>
            <w:shd w:val="clear" w:color="auto" w:fill="auto"/>
          </w:tcPr>
          <w:p w14:paraId="36A27870"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2021: 0</w:t>
            </w:r>
          </w:p>
        </w:tc>
      </w:tr>
      <w:tr w:rsidR="003855FD" w:rsidRPr="0073029B" w14:paraId="6178B889" w14:textId="77777777" w:rsidTr="004D2834">
        <w:trPr>
          <w:trHeight w:val="20"/>
        </w:trPr>
        <w:tc>
          <w:tcPr>
            <w:tcW w:w="1387" w:type="pct"/>
            <w:gridSpan w:val="2"/>
            <w:shd w:val="clear" w:color="auto" w:fill="auto"/>
            <w:hideMark/>
          </w:tcPr>
          <w:p w14:paraId="3A1C2A1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613" w:type="pct"/>
            <w:shd w:val="clear" w:color="auto" w:fill="auto"/>
            <w:vAlign w:val="center"/>
          </w:tcPr>
          <w:p w14:paraId="6587C57D"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Periodo 2023-2026: 100% (acumulativo)</w:t>
            </w:r>
          </w:p>
          <w:p w14:paraId="24B04665" w14:textId="77777777" w:rsidR="003855FD" w:rsidRPr="0073029B" w:rsidRDefault="003855FD" w:rsidP="004D2834">
            <w:pPr>
              <w:spacing w:after="0" w:line="240" w:lineRule="auto"/>
              <w:ind w:right="47"/>
              <w:rPr>
                <w:rFonts w:eastAsia="Times New Roman" w:cs="Tahoma"/>
                <w:color w:val="000000"/>
                <w:szCs w:val="16"/>
                <w:lang w:eastAsia="es-CR"/>
              </w:rPr>
            </w:pPr>
          </w:p>
          <w:p w14:paraId="19895F72"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Escala de desempeño anual:</w:t>
            </w:r>
          </w:p>
          <w:p w14:paraId="461F4838"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2023: Estrategia de comunicación I fase (20%).</w:t>
            </w:r>
          </w:p>
          <w:p w14:paraId="392261D6"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2024: Centros de denuncia (puntos violetas) (30%).</w:t>
            </w:r>
          </w:p>
          <w:p w14:paraId="7710323E"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2025: Mecanismos de auxilio (20%).</w:t>
            </w:r>
          </w:p>
          <w:p w14:paraId="43647D1E"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2025: Estrategia de comunicación II fase (10%)</w:t>
            </w:r>
          </w:p>
          <w:p w14:paraId="0120C6D6"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2026: Marco legal de la estrategia (20%).</w:t>
            </w:r>
          </w:p>
        </w:tc>
      </w:tr>
      <w:tr w:rsidR="003855FD" w:rsidRPr="0073029B" w14:paraId="4C968661" w14:textId="77777777" w:rsidTr="004D2834">
        <w:trPr>
          <w:trHeight w:val="20"/>
        </w:trPr>
        <w:tc>
          <w:tcPr>
            <w:tcW w:w="1387" w:type="pct"/>
            <w:gridSpan w:val="2"/>
            <w:shd w:val="clear" w:color="auto" w:fill="auto"/>
            <w:hideMark/>
          </w:tcPr>
          <w:p w14:paraId="6F4C53D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 seguimiento</w:t>
            </w:r>
          </w:p>
        </w:tc>
        <w:tc>
          <w:tcPr>
            <w:tcW w:w="3613" w:type="pct"/>
            <w:shd w:val="clear" w:color="auto" w:fill="auto"/>
          </w:tcPr>
          <w:p w14:paraId="5E39058B"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Anual</w:t>
            </w:r>
          </w:p>
        </w:tc>
      </w:tr>
      <w:tr w:rsidR="003855FD" w:rsidRPr="0073029B" w14:paraId="1A805B58" w14:textId="77777777" w:rsidTr="004D2834">
        <w:trPr>
          <w:trHeight w:val="20"/>
        </w:trPr>
        <w:tc>
          <w:tcPr>
            <w:tcW w:w="1387" w:type="pct"/>
            <w:gridSpan w:val="2"/>
            <w:shd w:val="clear" w:color="auto" w:fill="auto"/>
            <w:hideMark/>
          </w:tcPr>
          <w:p w14:paraId="45AE0BC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613" w:type="pct"/>
            <w:shd w:val="clear" w:color="auto" w:fill="auto"/>
          </w:tcPr>
          <w:p w14:paraId="4105E71F"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Instituto Nacional de las Mujeres.</w:t>
            </w:r>
          </w:p>
        </w:tc>
      </w:tr>
      <w:tr w:rsidR="003855FD" w:rsidRPr="0073029B" w14:paraId="3523CA82" w14:textId="77777777" w:rsidTr="004D2834">
        <w:trPr>
          <w:trHeight w:val="368"/>
        </w:trPr>
        <w:tc>
          <w:tcPr>
            <w:tcW w:w="1387" w:type="pct"/>
            <w:gridSpan w:val="2"/>
            <w:shd w:val="clear" w:color="auto" w:fill="auto"/>
            <w:hideMark/>
          </w:tcPr>
          <w:p w14:paraId="493CF29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613" w:type="pct"/>
            <w:shd w:val="clear" w:color="auto" w:fill="auto"/>
          </w:tcPr>
          <w:p w14:paraId="423390D4" w14:textId="77777777" w:rsidR="003855FD" w:rsidRPr="0073029B" w:rsidRDefault="003855FD" w:rsidP="004D2834">
            <w:pPr>
              <w:spacing w:after="0" w:line="240" w:lineRule="auto"/>
              <w:ind w:right="47"/>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p>
          <w:p w14:paraId="4F47E62A" w14:textId="77777777" w:rsidR="003855FD" w:rsidRPr="0073029B" w:rsidRDefault="003855FD" w:rsidP="004D2834">
            <w:pPr>
              <w:spacing w:after="0" w:line="240" w:lineRule="auto"/>
              <w:ind w:right="47"/>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Efecto.</w:t>
            </w:r>
          </w:p>
          <w:p w14:paraId="1455A83C"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(X) Producto.</w:t>
            </w:r>
          </w:p>
        </w:tc>
      </w:tr>
      <w:tr w:rsidR="003855FD" w:rsidRPr="0073029B" w14:paraId="3BE0989B" w14:textId="77777777" w:rsidTr="004D2834">
        <w:trPr>
          <w:trHeight w:val="20"/>
        </w:trPr>
        <w:tc>
          <w:tcPr>
            <w:tcW w:w="1387" w:type="pct"/>
            <w:gridSpan w:val="2"/>
            <w:shd w:val="clear" w:color="auto" w:fill="auto"/>
            <w:hideMark/>
          </w:tcPr>
          <w:p w14:paraId="391CA65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613" w:type="pct"/>
            <w:shd w:val="clear" w:color="auto" w:fill="auto"/>
          </w:tcPr>
          <w:p w14:paraId="1B26D5B1"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Registro administrativo</w:t>
            </w:r>
          </w:p>
        </w:tc>
      </w:tr>
      <w:tr w:rsidR="003855FD" w:rsidRPr="0073029B" w14:paraId="05205677" w14:textId="77777777" w:rsidTr="004D2834">
        <w:trPr>
          <w:trHeight w:val="20"/>
        </w:trPr>
        <w:tc>
          <w:tcPr>
            <w:tcW w:w="1387" w:type="pct"/>
            <w:gridSpan w:val="2"/>
            <w:shd w:val="clear" w:color="auto" w:fill="auto"/>
            <w:hideMark/>
          </w:tcPr>
          <w:p w14:paraId="324B39B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Indicador de Objetivo de Desarrollo Sostenible (ODS) vinculado</w:t>
            </w:r>
          </w:p>
        </w:tc>
        <w:tc>
          <w:tcPr>
            <w:tcW w:w="3613" w:type="pct"/>
            <w:shd w:val="clear" w:color="auto" w:fill="auto"/>
          </w:tcPr>
          <w:p w14:paraId="0AF1FF4B"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5.1.1, 5.2.1, 5.2.2</w:t>
            </w:r>
          </w:p>
          <w:p w14:paraId="00DBA39C"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16.1.3</w:t>
            </w:r>
          </w:p>
        </w:tc>
      </w:tr>
      <w:tr w:rsidR="003855FD" w:rsidRPr="0073029B" w14:paraId="56E1F8FF" w14:textId="77777777" w:rsidTr="004D2834">
        <w:trPr>
          <w:trHeight w:val="20"/>
        </w:trPr>
        <w:tc>
          <w:tcPr>
            <w:tcW w:w="1387" w:type="pct"/>
            <w:gridSpan w:val="2"/>
            <w:shd w:val="clear" w:color="auto" w:fill="auto"/>
            <w:hideMark/>
          </w:tcPr>
          <w:p w14:paraId="44A1CEF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613" w:type="pct"/>
            <w:shd w:val="clear" w:color="auto" w:fill="auto"/>
          </w:tcPr>
          <w:p w14:paraId="0E8D1CB3"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(X) Directa</w:t>
            </w:r>
          </w:p>
          <w:p w14:paraId="5692C024" w14:textId="77777777" w:rsidR="003855FD" w:rsidRPr="0073029B" w:rsidRDefault="003855FD" w:rsidP="004D2834">
            <w:pPr>
              <w:spacing w:after="0" w:line="240" w:lineRule="auto"/>
              <w:ind w:right="47"/>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Indirecta</w:t>
            </w:r>
          </w:p>
        </w:tc>
      </w:tr>
      <w:tr w:rsidR="003855FD" w:rsidRPr="0073029B" w14:paraId="32E30E2C" w14:textId="77777777" w:rsidTr="004D2834">
        <w:trPr>
          <w:trHeight w:val="20"/>
        </w:trPr>
        <w:tc>
          <w:tcPr>
            <w:tcW w:w="1387" w:type="pct"/>
            <w:gridSpan w:val="2"/>
            <w:shd w:val="clear" w:color="auto" w:fill="auto"/>
            <w:hideMark/>
          </w:tcPr>
          <w:p w14:paraId="361A394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 de Montevideo</w:t>
            </w:r>
          </w:p>
        </w:tc>
        <w:tc>
          <w:tcPr>
            <w:tcW w:w="3613" w:type="pct"/>
            <w:shd w:val="clear" w:color="auto" w:fill="auto"/>
          </w:tcPr>
          <w:p w14:paraId="27138506" w14:textId="77777777" w:rsidR="003855FD" w:rsidRPr="0073029B" w:rsidRDefault="003855FD" w:rsidP="004D2834">
            <w:pPr>
              <w:spacing w:after="0" w:line="240" w:lineRule="auto"/>
              <w:ind w:right="47"/>
              <w:jc w:val="both"/>
              <w:rPr>
                <w:rFonts w:eastAsia="Times New Roman" w:cs="Tahoma"/>
                <w:color w:val="000000"/>
                <w:szCs w:val="16"/>
                <w:lang w:eastAsia="es-CR"/>
              </w:rPr>
            </w:pPr>
            <w:proofErr w:type="spellStart"/>
            <w:r w:rsidRPr="0073029B">
              <w:rPr>
                <w:rFonts w:cs="Tahoma"/>
                <w:sz w:val="18"/>
                <w:szCs w:val="18"/>
              </w:rPr>
              <w:t>CdM</w:t>
            </w:r>
            <w:proofErr w:type="spellEnd"/>
            <w:r w:rsidRPr="0073029B">
              <w:rPr>
                <w:rFonts w:cs="Tahoma"/>
                <w:sz w:val="18"/>
                <w:szCs w:val="18"/>
              </w:rPr>
              <w:t>: E.57, E.58,</w:t>
            </w:r>
          </w:p>
        </w:tc>
      </w:tr>
      <w:tr w:rsidR="003855FD" w:rsidRPr="0073029B" w14:paraId="7073E474" w14:textId="77777777" w:rsidTr="004D2834">
        <w:trPr>
          <w:trHeight w:val="20"/>
        </w:trPr>
        <w:tc>
          <w:tcPr>
            <w:tcW w:w="1387" w:type="pct"/>
            <w:gridSpan w:val="2"/>
            <w:shd w:val="clear" w:color="auto" w:fill="auto"/>
            <w:hideMark/>
          </w:tcPr>
          <w:p w14:paraId="4BA3836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w:t>
            </w:r>
            <w:r w:rsidRPr="0073029B">
              <w:rPr>
                <w:rFonts w:eastAsia="Times New Roman" w:cs="Tahoma"/>
                <w:b/>
                <w:bCs/>
                <w:color w:val="000000"/>
                <w:szCs w:val="16"/>
                <w:lang w:eastAsia="es-CR"/>
              </w:rPr>
              <w:br/>
              <w:t>Desarrollo</w:t>
            </w:r>
          </w:p>
        </w:tc>
        <w:tc>
          <w:tcPr>
            <w:tcW w:w="3613" w:type="pct"/>
            <w:shd w:val="clear" w:color="auto" w:fill="auto"/>
          </w:tcPr>
          <w:p w14:paraId="5AF4E2F4"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1PRD. Central: 1.3.2.</w:t>
            </w:r>
          </w:p>
          <w:p w14:paraId="7FB390FD"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2PRD. Brunca: 2.2</w:t>
            </w:r>
          </w:p>
          <w:p w14:paraId="26CE3EC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3PRD. Pacífico Central: 3.3</w:t>
            </w:r>
          </w:p>
          <w:p w14:paraId="514A744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4PRD. Chorotega:4.2.2.</w:t>
            </w:r>
          </w:p>
          <w:p w14:paraId="305B1BBD"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5PRD. Huetar Caribe: 5.2.2.</w:t>
            </w:r>
          </w:p>
          <w:p w14:paraId="3243DCA1"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6PRD. Huetar Norte: 6.2.</w:t>
            </w:r>
          </w:p>
        </w:tc>
      </w:tr>
      <w:tr w:rsidR="003855FD" w:rsidRPr="0073029B" w14:paraId="4A7BCE76" w14:textId="77777777" w:rsidTr="004D2834">
        <w:trPr>
          <w:trHeight w:val="20"/>
        </w:trPr>
        <w:tc>
          <w:tcPr>
            <w:tcW w:w="1387" w:type="pct"/>
            <w:gridSpan w:val="2"/>
            <w:shd w:val="clear" w:color="auto" w:fill="auto"/>
            <w:hideMark/>
          </w:tcPr>
          <w:p w14:paraId="2910196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613" w:type="pct"/>
            <w:shd w:val="clear" w:color="auto" w:fill="auto"/>
          </w:tcPr>
          <w:p w14:paraId="69AC11A2"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092D660C"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cs="Tahoma"/>
                <w:noProof/>
              </w:rPr>
              <w:drawing>
                <wp:inline distT="0" distB="0" distL="0" distR="0" wp14:anchorId="0061F8C9" wp14:editId="4991F848">
                  <wp:extent cx="4200143" cy="243332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08130" cy="2437947"/>
                          </a:xfrm>
                          <a:prstGeom prst="rect">
                            <a:avLst/>
                          </a:prstGeom>
                        </pic:spPr>
                      </pic:pic>
                    </a:graphicData>
                  </a:graphic>
                </wp:inline>
              </w:drawing>
            </w:r>
          </w:p>
          <w:p w14:paraId="2DB086F1"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6835A84F"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Ubicación de los Centros de Atención y Apoyo para el acompañamiento y representación legal de las mujeres víctimas de violencia.</w:t>
            </w:r>
          </w:p>
          <w:p w14:paraId="6D86D9F4" w14:textId="77777777" w:rsidR="003855FD" w:rsidRPr="0073029B" w:rsidRDefault="003855FD" w:rsidP="004D2834">
            <w:pPr>
              <w:spacing w:after="0" w:line="240" w:lineRule="auto"/>
              <w:ind w:right="47"/>
              <w:jc w:val="both"/>
              <w:rPr>
                <w:rFonts w:eastAsia="Times New Roman" w:cs="Tahoma"/>
                <w:color w:val="000000"/>
                <w:szCs w:val="16"/>
                <w:lang w:eastAsia="es-CR"/>
              </w:rPr>
            </w:pPr>
          </w:p>
          <w:p w14:paraId="69645E20"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La Estrategia, así llamada: “RUTA DE GÉNERO” es una acción sectorial combinada, que cuenta con la participación activa y con responsabilidades de parte del Ministerio de Justicia y Paz, Ministerio de Trabajo (dirección de inspección), el Ministerios de Obras Públicas y Transporte y del INAMU.</w:t>
            </w:r>
          </w:p>
        </w:tc>
      </w:tr>
      <w:tr w:rsidR="003855FD" w:rsidRPr="0073029B" w14:paraId="4C8EB509" w14:textId="77777777" w:rsidTr="004D2834">
        <w:trPr>
          <w:trHeight w:val="20"/>
        </w:trPr>
        <w:tc>
          <w:tcPr>
            <w:tcW w:w="1387" w:type="pct"/>
            <w:gridSpan w:val="2"/>
            <w:shd w:val="clear" w:color="auto" w:fill="003A70"/>
            <w:hideMark/>
          </w:tcPr>
          <w:p w14:paraId="0AAC60B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613" w:type="pct"/>
            <w:shd w:val="clear" w:color="auto" w:fill="auto"/>
          </w:tcPr>
          <w:p w14:paraId="1207B3F0"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No se han realizado modificaciones.</w:t>
            </w:r>
          </w:p>
        </w:tc>
      </w:tr>
    </w:tbl>
    <w:p w14:paraId="19C3F29D" w14:textId="77777777" w:rsidR="003855FD" w:rsidRPr="0073029B" w:rsidRDefault="003855FD" w:rsidP="003855FD">
      <w:pPr>
        <w:pStyle w:val="Default"/>
        <w:jc w:val="both"/>
        <w:rPr>
          <w:rFonts w:ascii="Tahoma" w:eastAsia="Arial Narrow" w:hAnsi="Tahoma" w:cs="Tahoma"/>
          <w:sz w:val="16"/>
        </w:rPr>
      </w:pPr>
      <w:r w:rsidRPr="0073029B">
        <w:rPr>
          <w:rFonts w:ascii="Tahoma" w:eastAsia="Arial Narrow" w:hAnsi="Tahoma" w:cs="Tahoma"/>
          <w:sz w:val="16"/>
        </w:rPr>
        <w:t xml:space="preserve">Fuente: Casa Presidencial, Segunda Vicepresidencia de la República de Costa Rica, </w:t>
      </w:r>
      <w:proofErr w:type="gramStart"/>
      <w:r w:rsidRPr="0073029B">
        <w:rPr>
          <w:rFonts w:ascii="Tahoma" w:eastAsia="Arial Narrow" w:hAnsi="Tahoma" w:cs="Tahoma"/>
          <w:sz w:val="16"/>
        </w:rPr>
        <w:t>Ministra</w:t>
      </w:r>
      <w:proofErr w:type="gramEnd"/>
      <w:r w:rsidRPr="0073029B">
        <w:rPr>
          <w:rFonts w:ascii="Tahoma" w:eastAsia="Arial Narrow" w:hAnsi="Tahoma" w:cs="Tahoma"/>
          <w:sz w:val="16"/>
        </w:rPr>
        <w:t xml:space="preserve"> de la Condición de la Mujer, Instituto Nacional de las Mujeres, Ministerio de Justicia y Paz, Ministerio de Trabajo y Seguridad Social y Ministerio de Seguridad Pública. Plan de acción de la Estrategia Nacional para el combate del Acoso y el Hostigamiento Sexual contra las mujeres. Octubre, 2022.</w:t>
      </w:r>
    </w:p>
    <w:p w14:paraId="0D3F2A6F" w14:textId="77777777" w:rsidR="003855FD" w:rsidRPr="0073029B" w:rsidRDefault="003855FD" w:rsidP="003855FD">
      <w:pPr>
        <w:pStyle w:val="Ttulo1"/>
        <w:jc w:val="both"/>
        <w:rPr>
          <w:rFonts w:cs="Tahoma"/>
        </w:rPr>
      </w:pPr>
    </w:p>
    <w:p w14:paraId="4B4B9D0B" w14:textId="77777777" w:rsidR="003855FD" w:rsidRPr="0073029B" w:rsidRDefault="003855FD" w:rsidP="003855FD">
      <w:pPr>
        <w:pStyle w:val="Ttulo1"/>
        <w:jc w:val="both"/>
        <w:rPr>
          <w:rFonts w:cs="Tahoma"/>
        </w:rPr>
      </w:pPr>
    </w:p>
    <w:p w14:paraId="2ED49C18" w14:textId="77777777" w:rsidR="003855FD" w:rsidRPr="0073029B" w:rsidRDefault="003855FD" w:rsidP="003855FD">
      <w:pPr>
        <w:rPr>
          <w:rFonts w:cs="Tahoma"/>
        </w:rPr>
      </w:pPr>
    </w:p>
    <w:p w14:paraId="2D750A2E" w14:textId="77777777" w:rsidR="003855FD" w:rsidRPr="0073029B" w:rsidRDefault="003855FD" w:rsidP="003855FD">
      <w:pPr>
        <w:rPr>
          <w:rFonts w:cs="Tahoma"/>
        </w:rPr>
      </w:pPr>
    </w:p>
    <w:p w14:paraId="7E1448CB" w14:textId="77777777" w:rsidR="003855FD" w:rsidRPr="0073029B" w:rsidRDefault="003855FD" w:rsidP="003855FD">
      <w:pPr>
        <w:rPr>
          <w:rFonts w:cs="Tahoma"/>
        </w:rPr>
      </w:pPr>
    </w:p>
    <w:p w14:paraId="6B399BE3" w14:textId="77777777" w:rsidR="003855FD" w:rsidRPr="0073029B" w:rsidRDefault="003855FD" w:rsidP="003855FD">
      <w:pPr>
        <w:rPr>
          <w:rFonts w:cs="Tahoma"/>
        </w:rPr>
      </w:pPr>
    </w:p>
    <w:p w14:paraId="1C1E5551" w14:textId="77777777" w:rsidR="003855FD" w:rsidRPr="0073029B" w:rsidRDefault="003855FD" w:rsidP="003855FD">
      <w:pPr>
        <w:pStyle w:val="Ttulo1"/>
        <w:jc w:val="both"/>
        <w:rPr>
          <w:rFonts w:cs="Tahoma"/>
        </w:rPr>
      </w:pPr>
      <w:bookmarkStart w:id="50" w:name="_Toc203738421"/>
      <w:bookmarkStart w:id="51" w:name="_Toc220401629"/>
      <w:r w:rsidRPr="0073029B">
        <w:rPr>
          <w:rFonts w:cs="Tahoma"/>
        </w:rPr>
        <w:lastRenderedPageBreak/>
        <w:t>4. Ficha técnica de indicadores de intervención pública actualizados</w:t>
      </w:r>
      <w:bookmarkEnd w:id="50"/>
      <w:bookmarkEnd w:id="51"/>
      <w:r w:rsidRPr="0073029B">
        <w:rPr>
          <w:rFonts w:cs="Tahoma"/>
        </w:rPr>
        <w:t xml:space="preserve"> </w:t>
      </w:r>
    </w:p>
    <w:p w14:paraId="52BBD606" w14:textId="77777777" w:rsidR="003855FD" w:rsidRPr="0073029B" w:rsidRDefault="003855FD" w:rsidP="003855FD">
      <w:pPr>
        <w:spacing w:line="276" w:lineRule="auto"/>
        <w:jc w:val="both"/>
        <w:rPr>
          <w:rFonts w:cs="Tahoma"/>
          <w:sz w:val="18"/>
          <w:szCs w:val="18"/>
          <w:u w:val="single"/>
        </w:rPr>
      </w:pPr>
      <w:bookmarkStart w:id="52" w:name="_Hlk191366472"/>
      <w:r w:rsidRPr="0073029B">
        <w:rPr>
          <w:rFonts w:cs="Tahoma"/>
          <w:b/>
          <w:sz w:val="18"/>
          <w:szCs w:val="18"/>
          <w:u w:val="single"/>
        </w:rPr>
        <w:t>Intervención Pública 1:</w:t>
      </w:r>
      <w:r w:rsidRPr="0073029B">
        <w:rPr>
          <w:rFonts w:cs="Tahoma"/>
          <w:sz w:val="18"/>
          <w:szCs w:val="18"/>
          <w:u w:val="single"/>
        </w:rPr>
        <w:t xml:space="preserve">  Programa de fortalecimiento del Sistema Penitenciario Nacional.</w:t>
      </w:r>
    </w:p>
    <w:p w14:paraId="0B0E769B" w14:textId="77777777" w:rsidR="003855FD" w:rsidRPr="0073029B" w:rsidRDefault="003855FD" w:rsidP="003855FD">
      <w:pPr>
        <w:spacing w:line="276" w:lineRule="auto"/>
        <w:jc w:val="both"/>
        <w:rPr>
          <w:rFonts w:cs="Tahoma"/>
        </w:rPr>
      </w:pPr>
      <w:r w:rsidRPr="0073029B">
        <w:rPr>
          <w:rFonts w:cs="Tahoma"/>
          <w:b/>
          <w:sz w:val="18"/>
          <w:szCs w:val="18"/>
        </w:rPr>
        <w:t>Objetivo 1.1</w:t>
      </w:r>
      <w:r w:rsidRPr="0073029B">
        <w:rPr>
          <w:rFonts w:cs="Tahoma"/>
          <w:sz w:val="18"/>
          <w:szCs w:val="18"/>
        </w:rPr>
        <w:t>: Implementar el Programa Fortalecimiento Sistema Penitenciario Nacional, con el fin de cumplir con los derechos humanos de la población penitenciaria</w:t>
      </w:r>
      <w:r w:rsidRPr="0073029B">
        <w:rPr>
          <w:rFonts w:cs="Tahom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2"/>
        <w:gridCol w:w="1184"/>
        <w:gridCol w:w="6737"/>
      </w:tblGrid>
      <w:tr w:rsidR="003855FD" w:rsidRPr="0073029B" w14:paraId="338595A0" w14:textId="77777777" w:rsidTr="004D2834">
        <w:trPr>
          <w:trHeight w:val="228"/>
          <w:tblHeader/>
        </w:trPr>
        <w:tc>
          <w:tcPr>
            <w:tcW w:w="1387" w:type="pct"/>
            <w:gridSpan w:val="2"/>
            <w:shd w:val="clear" w:color="auto" w:fill="003A70"/>
            <w:hideMark/>
          </w:tcPr>
          <w:p w14:paraId="44E8C44B"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613" w:type="pct"/>
            <w:shd w:val="clear" w:color="auto" w:fill="003A70"/>
            <w:hideMark/>
          </w:tcPr>
          <w:p w14:paraId="30BF3CA0"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A.1.1.1</w:t>
            </w:r>
          </w:p>
        </w:tc>
      </w:tr>
      <w:tr w:rsidR="003855FD" w:rsidRPr="0073029B" w14:paraId="62341771" w14:textId="77777777" w:rsidTr="004D2834">
        <w:trPr>
          <w:trHeight w:val="240"/>
          <w:tblHeader/>
        </w:trPr>
        <w:tc>
          <w:tcPr>
            <w:tcW w:w="1387" w:type="pct"/>
            <w:gridSpan w:val="2"/>
            <w:shd w:val="clear" w:color="000000" w:fill="D9D9D9"/>
            <w:vAlign w:val="center"/>
            <w:hideMark/>
          </w:tcPr>
          <w:p w14:paraId="26C9EA40"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613" w:type="pct"/>
            <w:shd w:val="clear" w:color="000000" w:fill="D9D9D9"/>
            <w:vAlign w:val="center"/>
            <w:hideMark/>
          </w:tcPr>
          <w:p w14:paraId="2B2C6BE6"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5BFBC20D" w14:textId="77777777" w:rsidTr="004D2834">
        <w:trPr>
          <w:trHeight w:val="480"/>
        </w:trPr>
        <w:tc>
          <w:tcPr>
            <w:tcW w:w="1387" w:type="pct"/>
            <w:gridSpan w:val="2"/>
            <w:shd w:val="clear" w:color="auto" w:fill="003A70"/>
            <w:hideMark/>
          </w:tcPr>
          <w:p w14:paraId="03742F6F"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613" w:type="pct"/>
            <w:shd w:val="clear" w:color="auto" w:fill="003A70"/>
            <w:hideMark/>
          </w:tcPr>
          <w:p w14:paraId="1B4C5F96" w14:textId="77777777" w:rsidR="003855FD" w:rsidRPr="0073029B" w:rsidRDefault="003855FD" w:rsidP="004D2834">
            <w:pPr>
              <w:spacing w:after="0"/>
              <w:jc w:val="both"/>
              <w:rPr>
                <w:rFonts w:eastAsia="Times New Roman" w:cs="Tahoma"/>
                <w:b/>
                <w:color w:val="FFFFFF" w:themeColor="background1"/>
                <w:szCs w:val="16"/>
                <w:lang w:eastAsia="es-CR"/>
              </w:rPr>
            </w:pPr>
            <w:bookmarkStart w:id="53" w:name="_Toc202257787"/>
            <w:r w:rsidRPr="0073029B">
              <w:rPr>
                <w:rFonts w:cs="Tahoma"/>
                <w:b/>
                <w:bCs/>
              </w:rPr>
              <w:t>A</w:t>
            </w:r>
            <w:r w:rsidRPr="0073029B">
              <w:rPr>
                <w:rFonts w:cs="Tahoma"/>
                <w:bCs/>
              </w:rPr>
              <w:t>.</w:t>
            </w:r>
            <w:r w:rsidRPr="0073029B">
              <w:rPr>
                <w:rFonts w:cs="Tahoma"/>
                <w:b/>
              </w:rPr>
              <w:t>1.1.1 Tasa de participaciones en diferentes procesos de atención para su inserción social integral por cada 100 personas privadas de libertad en centros de atención institucional de población adulta y penal juvenil</w:t>
            </w:r>
            <w:bookmarkEnd w:id="53"/>
            <w:r w:rsidRPr="0073029B">
              <w:rPr>
                <w:rFonts w:eastAsia="Times New Roman" w:cs="Tahoma"/>
                <w:b/>
                <w:color w:val="FFFFFF" w:themeColor="background1"/>
                <w:szCs w:val="16"/>
                <w:lang w:eastAsia="es-CR"/>
              </w:rPr>
              <w:t>.</w:t>
            </w:r>
          </w:p>
        </w:tc>
      </w:tr>
      <w:tr w:rsidR="003855FD" w:rsidRPr="0073029B" w14:paraId="16F88145" w14:textId="77777777" w:rsidTr="004D2834">
        <w:trPr>
          <w:trHeight w:val="3156"/>
        </w:trPr>
        <w:tc>
          <w:tcPr>
            <w:tcW w:w="1387" w:type="pct"/>
            <w:gridSpan w:val="2"/>
            <w:shd w:val="clear" w:color="auto" w:fill="auto"/>
            <w:hideMark/>
          </w:tcPr>
          <w:p w14:paraId="64504E4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613" w:type="pct"/>
            <w:shd w:val="clear" w:color="auto" w:fill="auto"/>
            <w:hideMark/>
          </w:tcPr>
          <w:p w14:paraId="77D7E6A9"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Corresponde a los procesos de atención de los diferentes servicios desarrollados tales como: acciones formativas, educativas, ocupación laboral remunerada y no remunerada, grupales y certificadas. La población considerada para la meta estimada es la de los Centros Institucionales (hombres, mujeres, penal juvenil).</w:t>
            </w:r>
          </w:p>
          <w:p w14:paraId="30B8DEAD"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br/>
              <w:t>La inserción social integral se refiera al proceso a través del cual una persona logra integrarse pacíficamente en las diferentes esferas que componen la vida social, posterior a haber pasado un período de tiempo institucionalizada. Va a depender de una serie de condiciones internas y externas; las primeras, constan de habilidades y destrezas personales que facilitan el desenvolvimiento social. Las segundas, son las posibilidades efectivas que la sociedad ofrece para facilitar el acceso de estas personas a derechos, tales como servicios sociales institucionales. Se busca que a través del logro de una adecuada inserción social de las personas que egresan del sistema penitenciario, se evite la reiteración de comportamientos delictivos.</w:t>
            </w:r>
            <w:r w:rsidRPr="0073029B">
              <w:rPr>
                <w:rFonts w:eastAsia="Times New Roman" w:cs="Tahoma"/>
                <w:color w:val="000000"/>
                <w:szCs w:val="16"/>
                <w:lang w:eastAsia="es-CR"/>
              </w:rPr>
              <w:br/>
            </w:r>
            <w:r w:rsidRPr="0073029B">
              <w:rPr>
                <w:rFonts w:eastAsia="Times New Roman" w:cs="Tahoma"/>
                <w:color w:val="000000"/>
                <w:szCs w:val="16"/>
                <w:lang w:eastAsia="es-CR"/>
              </w:rPr>
              <w:br/>
              <w:t>En el artículo 9 del Reglamento del Sistema Penitenciario Nacional (</w:t>
            </w:r>
            <w:proofErr w:type="spellStart"/>
            <w:r w:rsidRPr="0073029B">
              <w:rPr>
                <w:rFonts w:eastAsia="Times New Roman" w:cs="Tahoma"/>
                <w:color w:val="000000"/>
                <w:szCs w:val="16"/>
                <w:lang w:eastAsia="es-CR"/>
              </w:rPr>
              <w:t>N°</w:t>
            </w:r>
            <w:proofErr w:type="spellEnd"/>
            <w:r w:rsidRPr="0073029B">
              <w:rPr>
                <w:rFonts w:eastAsia="Times New Roman" w:cs="Tahoma"/>
                <w:color w:val="000000"/>
                <w:szCs w:val="16"/>
                <w:lang w:eastAsia="es-CR"/>
              </w:rPr>
              <w:t xml:space="preserve"> 40849- JP) indica: “Principio de inserción y atención de calidad. La administración penitenciaria buscará la inserción social de las personas privadas de libertad. Para ello, tomará las medidas necesarias a efecto de poder ofrecerles a las personas educación, cultura, formación profesional, trabajo, salud, deporte, arte y cualquier otra que tenga el mismo fin.”</w:t>
            </w:r>
          </w:p>
          <w:p w14:paraId="3F43614C" w14:textId="77777777" w:rsidR="003855FD" w:rsidRPr="0073029B" w:rsidRDefault="003855FD" w:rsidP="004D2834">
            <w:pPr>
              <w:spacing w:after="0" w:line="240" w:lineRule="auto"/>
              <w:ind w:right="47"/>
              <w:jc w:val="both"/>
              <w:rPr>
                <w:rFonts w:eastAsia="Times New Roman" w:cs="Tahoma"/>
                <w:color w:val="000000"/>
                <w:szCs w:val="16"/>
                <w:lang w:eastAsia="es-CR"/>
              </w:rPr>
            </w:pPr>
          </w:p>
        </w:tc>
      </w:tr>
      <w:tr w:rsidR="003855FD" w:rsidRPr="0073029B" w14:paraId="05811A2B" w14:textId="77777777" w:rsidTr="004D2834">
        <w:trPr>
          <w:trHeight w:val="624"/>
        </w:trPr>
        <w:tc>
          <w:tcPr>
            <w:tcW w:w="1387" w:type="pct"/>
            <w:gridSpan w:val="2"/>
            <w:shd w:val="clear" w:color="auto" w:fill="auto"/>
            <w:hideMark/>
          </w:tcPr>
          <w:p w14:paraId="5683F3A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613" w:type="pct"/>
            <w:shd w:val="clear" w:color="auto" w:fill="auto"/>
            <w:hideMark/>
          </w:tcPr>
          <w:p w14:paraId="1F283C3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(Sumatoria de participaciones por mes de personas privadas de libertad en centros de atención institucional de población adulta y penal juvenil en diferentes procesos de atención para su inserción social integral / Suma mensual de población penitenciaria en centros de atención institucional de población adulta y penal juvenil) *100</w:t>
            </w:r>
          </w:p>
          <w:p w14:paraId="659AFA4C" w14:textId="77777777" w:rsidR="003855FD" w:rsidRPr="0073029B" w:rsidRDefault="003855FD" w:rsidP="004D2834">
            <w:pPr>
              <w:spacing w:after="0" w:line="240" w:lineRule="auto"/>
              <w:ind w:right="47"/>
              <w:jc w:val="both"/>
              <w:rPr>
                <w:rFonts w:eastAsia="Times New Roman" w:cs="Tahoma"/>
                <w:color w:val="000000"/>
                <w:szCs w:val="16"/>
                <w:lang w:eastAsia="es-CR"/>
              </w:rPr>
            </w:pPr>
          </w:p>
        </w:tc>
      </w:tr>
      <w:tr w:rsidR="003855FD" w:rsidRPr="0073029B" w14:paraId="311DE0EA" w14:textId="77777777" w:rsidTr="004D2834">
        <w:trPr>
          <w:trHeight w:val="2748"/>
        </w:trPr>
        <w:tc>
          <w:tcPr>
            <w:tcW w:w="1387" w:type="pct"/>
            <w:gridSpan w:val="2"/>
            <w:shd w:val="clear" w:color="auto" w:fill="auto"/>
            <w:hideMark/>
          </w:tcPr>
          <w:p w14:paraId="44D58DF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613" w:type="pct"/>
            <w:shd w:val="clear" w:color="auto" w:fill="auto"/>
            <w:hideMark/>
          </w:tcPr>
          <w:p w14:paraId="4FB3BB8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Participaciones por persona privada de libertad en centros de atención institucional de población adulta y penal juvenil en diferentes procesos de atención para su inserción social integral, a saber:</w:t>
            </w:r>
          </w:p>
          <w:p w14:paraId="3D2E2DD8"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 Procesos y modalidades de Educación Formal.</w:t>
            </w:r>
          </w:p>
          <w:p w14:paraId="2FA17E5A"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 xml:space="preserve">• Actividades ocupacionales remuneradas y no remuneradas. </w:t>
            </w:r>
          </w:p>
          <w:p w14:paraId="61791617"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 xml:space="preserve">• Procesos de atención grupal: Habilidades para la vida, Prevención de las Conductas de Riesgo, Abordaje Socioeducativo del Consumo de Sustancias Psicoactivas, Violencia de Género, Violencia Intrafamiliar, Comportamiento Sexual Ofensor. En el caso de Centros Especializados como Vilma </w:t>
            </w:r>
            <w:proofErr w:type="spellStart"/>
            <w:r w:rsidRPr="0073029B">
              <w:rPr>
                <w:rFonts w:eastAsia="Times New Roman" w:cs="Tahoma"/>
                <w:color w:val="000000"/>
                <w:szCs w:val="16"/>
                <w:lang w:eastAsia="es-CR"/>
              </w:rPr>
              <w:t>Curling</w:t>
            </w:r>
            <w:proofErr w:type="spellEnd"/>
            <w:r w:rsidRPr="0073029B">
              <w:rPr>
                <w:rFonts w:eastAsia="Times New Roman" w:cs="Tahoma"/>
                <w:color w:val="000000"/>
                <w:szCs w:val="16"/>
                <w:lang w:eastAsia="es-CR"/>
              </w:rPr>
              <w:t>, Penal Juvenil se dan más en razón de la especialidad: Derechos Humanos, Deberes y Derechos, Temas asociados a la maternidad como lactancia materna, entre otros.</w:t>
            </w:r>
          </w:p>
          <w:p w14:paraId="7D51508F"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•Actividades de capacitación que cuentan con acreditación y/o constancia de aprovechamiento: con el INA se trabaja temas como Manipulación de Alimentos, Encuadernación Rústica y Fina; en el caso de Penal Juvenil se trabajan acreditaciones en manicure y pedicura, lubricador/llantero y gastronomía, entre otros. Actualmente se cuenta con un convenio con el INA, y también se tiene un protocolo de acreditación para certificar las habilidades que la población ya tiene en barbería, soldadura y ebanistería, entre otros.</w:t>
            </w:r>
          </w:p>
          <w:p w14:paraId="338C86D8" w14:textId="77777777" w:rsidR="003855FD" w:rsidRPr="0073029B" w:rsidRDefault="003855FD" w:rsidP="004D2834">
            <w:pPr>
              <w:spacing w:after="0" w:line="240" w:lineRule="auto"/>
              <w:ind w:right="47"/>
              <w:jc w:val="both"/>
              <w:rPr>
                <w:rFonts w:eastAsia="Times New Roman" w:cs="Tahoma"/>
                <w:color w:val="000000"/>
                <w:szCs w:val="16"/>
                <w:lang w:eastAsia="es-CR"/>
              </w:rPr>
            </w:pPr>
          </w:p>
        </w:tc>
      </w:tr>
      <w:tr w:rsidR="003855FD" w:rsidRPr="0073029B" w14:paraId="4156E48B" w14:textId="77777777" w:rsidTr="004D2834">
        <w:trPr>
          <w:trHeight w:val="276"/>
        </w:trPr>
        <w:tc>
          <w:tcPr>
            <w:tcW w:w="1387" w:type="pct"/>
            <w:gridSpan w:val="2"/>
            <w:shd w:val="clear" w:color="auto" w:fill="auto"/>
            <w:hideMark/>
          </w:tcPr>
          <w:p w14:paraId="624A3FA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613" w:type="pct"/>
            <w:shd w:val="clear" w:color="auto" w:fill="auto"/>
            <w:hideMark/>
          </w:tcPr>
          <w:p w14:paraId="5579EBC6"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Tasa</w:t>
            </w:r>
          </w:p>
        </w:tc>
      </w:tr>
      <w:tr w:rsidR="003855FD" w:rsidRPr="0073029B" w14:paraId="4D8DD06C" w14:textId="77777777" w:rsidTr="004D2834">
        <w:trPr>
          <w:trHeight w:val="450"/>
        </w:trPr>
        <w:tc>
          <w:tcPr>
            <w:tcW w:w="1387" w:type="pct"/>
            <w:gridSpan w:val="2"/>
            <w:vMerge w:val="restart"/>
            <w:shd w:val="clear" w:color="auto" w:fill="auto"/>
            <w:hideMark/>
          </w:tcPr>
          <w:p w14:paraId="3D8A8BA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613" w:type="pct"/>
            <w:vMerge w:val="restart"/>
            <w:shd w:val="clear" w:color="auto" w:fill="auto"/>
            <w:hideMark/>
          </w:tcPr>
          <w:p w14:paraId="071B5EE2"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Por cada 100 personas privadas de libertad en centros de atención institucional de población adulta y penal juvenil ocurren “n” participaciones en procesos de atención para su inversión social integral.</w:t>
            </w:r>
          </w:p>
          <w:p w14:paraId="4013AAD7"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El indicador mide la tasa de participación por cada 100 personas privadas de libertad en centros de atención institucional de población adulta y penal juvenil, en los diferentes procesos de atención profesional que se le brinda durante la ejecución de la pena privativa de libertad. Conforme lo establece el Reglamento Técnico, los procesos de atención tendrán como finalidad el desarrollo de habilidades y destrezas para la vida, así como procurar que la persona privada de libertad comprenda los aspectos sociales y personales que incidieron en la comisión de la conducta delictiva, fomentando el respeto de sí mismos y el desarrollo de la responsabilidad, con el objetivo de facilitarle una vida futura sin delinquir. Corresponde a los diferentes procesos de atención de los diferentes servicios desarrollados tales como: acciones formativas educativas, ocupación laboral remunerada y no remunerada, grupales y certificadas.</w:t>
            </w:r>
          </w:p>
        </w:tc>
      </w:tr>
      <w:tr w:rsidR="003855FD" w:rsidRPr="0073029B" w14:paraId="14FAB5CD" w14:textId="77777777" w:rsidTr="004D2834">
        <w:trPr>
          <w:trHeight w:val="450"/>
        </w:trPr>
        <w:tc>
          <w:tcPr>
            <w:tcW w:w="1387" w:type="pct"/>
            <w:gridSpan w:val="2"/>
            <w:vMerge/>
            <w:vAlign w:val="center"/>
            <w:hideMark/>
          </w:tcPr>
          <w:p w14:paraId="5481A2AA" w14:textId="77777777" w:rsidR="003855FD" w:rsidRPr="0073029B" w:rsidRDefault="003855FD" w:rsidP="004D2834">
            <w:pPr>
              <w:spacing w:after="0" w:line="240" w:lineRule="auto"/>
              <w:rPr>
                <w:rFonts w:eastAsia="Times New Roman" w:cs="Tahoma"/>
                <w:b/>
                <w:bCs/>
                <w:color w:val="000000"/>
                <w:szCs w:val="16"/>
                <w:lang w:eastAsia="es-CR"/>
              </w:rPr>
            </w:pPr>
          </w:p>
        </w:tc>
        <w:tc>
          <w:tcPr>
            <w:tcW w:w="3613" w:type="pct"/>
            <w:vMerge/>
            <w:vAlign w:val="center"/>
            <w:hideMark/>
          </w:tcPr>
          <w:p w14:paraId="0C4A2F06" w14:textId="77777777" w:rsidR="003855FD" w:rsidRPr="0073029B" w:rsidRDefault="003855FD" w:rsidP="004D2834">
            <w:pPr>
              <w:spacing w:after="0" w:line="240" w:lineRule="auto"/>
              <w:ind w:right="47"/>
              <w:jc w:val="both"/>
              <w:rPr>
                <w:rFonts w:eastAsia="Times New Roman" w:cs="Tahoma"/>
                <w:color w:val="000000"/>
                <w:szCs w:val="16"/>
                <w:lang w:eastAsia="es-CR"/>
              </w:rPr>
            </w:pPr>
          </w:p>
        </w:tc>
      </w:tr>
      <w:tr w:rsidR="003855FD" w:rsidRPr="0073029B" w14:paraId="56CC13B1" w14:textId="77777777" w:rsidTr="004D2834">
        <w:trPr>
          <w:trHeight w:val="450"/>
        </w:trPr>
        <w:tc>
          <w:tcPr>
            <w:tcW w:w="1387" w:type="pct"/>
            <w:gridSpan w:val="2"/>
            <w:vMerge/>
            <w:vAlign w:val="center"/>
            <w:hideMark/>
          </w:tcPr>
          <w:p w14:paraId="711D2AEC" w14:textId="77777777" w:rsidR="003855FD" w:rsidRPr="0073029B" w:rsidRDefault="003855FD" w:rsidP="004D2834">
            <w:pPr>
              <w:spacing w:after="0" w:line="240" w:lineRule="auto"/>
              <w:rPr>
                <w:rFonts w:eastAsia="Times New Roman" w:cs="Tahoma"/>
                <w:b/>
                <w:bCs/>
                <w:color w:val="000000"/>
                <w:szCs w:val="16"/>
                <w:lang w:eastAsia="es-CR"/>
              </w:rPr>
            </w:pPr>
          </w:p>
        </w:tc>
        <w:tc>
          <w:tcPr>
            <w:tcW w:w="3613" w:type="pct"/>
            <w:vMerge/>
            <w:vAlign w:val="center"/>
            <w:hideMark/>
          </w:tcPr>
          <w:p w14:paraId="07049B72" w14:textId="77777777" w:rsidR="003855FD" w:rsidRPr="0073029B" w:rsidRDefault="003855FD" w:rsidP="004D2834">
            <w:pPr>
              <w:spacing w:after="0" w:line="240" w:lineRule="auto"/>
              <w:ind w:right="47"/>
              <w:jc w:val="both"/>
              <w:rPr>
                <w:rFonts w:eastAsia="Times New Roman" w:cs="Tahoma"/>
                <w:color w:val="000000"/>
                <w:szCs w:val="16"/>
                <w:lang w:eastAsia="es-CR"/>
              </w:rPr>
            </w:pPr>
          </w:p>
        </w:tc>
      </w:tr>
      <w:tr w:rsidR="003855FD" w:rsidRPr="0073029B" w14:paraId="230E47C6" w14:textId="77777777" w:rsidTr="004D2834">
        <w:trPr>
          <w:trHeight w:val="1200"/>
        </w:trPr>
        <w:tc>
          <w:tcPr>
            <w:tcW w:w="1387" w:type="pct"/>
            <w:gridSpan w:val="2"/>
            <w:vMerge/>
            <w:vAlign w:val="center"/>
            <w:hideMark/>
          </w:tcPr>
          <w:p w14:paraId="6E1C5EBD" w14:textId="77777777" w:rsidR="003855FD" w:rsidRPr="0073029B" w:rsidRDefault="003855FD" w:rsidP="004D2834">
            <w:pPr>
              <w:spacing w:after="0" w:line="240" w:lineRule="auto"/>
              <w:rPr>
                <w:rFonts w:eastAsia="Times New Roman" w:cs="Tahoma"/>
                <w:b/>
                <w:bCs/>
                <w:color w:val="000000"/>
                <w:szCs w:val="16"/>
                <w:lang w:eastAsia="es-CR"/>
              </w:rPr>
            </w:pPr>
          </w:p>
        </w:tc>
        <w:tc>
          <w:tcPr>
            <w:tcW w:w="3613" w:type="pct"/>
            <w:vMerge/>
            <w:vAlign w:val="center"/>
            <w:hideMark/>
          </w:tcPr>
          <w:p w14:paraId="516B7903" w14:textId="77777777" w:rsidR="003855FD" w:rsidRPr="0073029B" w:rsidRDefault="003855FD" w:rsidP="004D2834">
            <w:pPr>
              <w:spacing w:after="0" w:line="240" w:lineRule="auto"/>
              <w:ind w:right="47"/>
              <w:jc w:val="both"/>
              <w:rPr>
                <w:rFonts w:eastAsia="Times New Roman" w:cs="Tahoma"/>
                <w:color w:val="000000"/>
                <w:szCs w:val="16"/>
                <w:lang w:eastAsia="es-CR"/>
              </w:rPr>
            </w:pPr>
          </w:p>
        </w:tc>
      </w:tr>
      <w:tr w:rsidR="003855FD" w:rsidRPr="0073029B" w14:paraId="054362A9" w14:textId="77777777" w:rsidTr="004D2834">
        <w:trPr>
          <w:trHeight w:val="288"/>
        </w:trPr>
        <w:tc>
          <w:tcPr>
            <w:tcW w:w="752" w:type="pct"/>
            <w:vMerge w:val="restart"/>
            <w:shd w:val="clear" w:color="auto" w:fill="auto"/>
            <w:hideMark/>
          </w:tcPr>
          <w:p w14:paraId="75E44F0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35" w:type="pct"/>
            <w:shd w:val="clear" w:color="auto" w:fill="auto"/>
            <w:hideMark/>
          </w:tcPr>
          <w:p w14:paraId="52B94A3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613" w:type="pct"/>
            <w:shd w:val="clear" w:color="auto" w:fill="auto"/>
            <w:hideMark/>
          </w:tcPr>
          <w:p w14:paraId="2960E524"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Nacional</w:t>
            </w:r>
          </w:p>
        </w:tc>
      </w:tr>
      <w:tr w:rsidR="003855FD" w:rsidRPr="0073029B" w14:paraId="7415523D" w14:textId="77777777" w:rsidTr="004D2834">
        <w:trPr>
          <w:trHeight w:val="288"/>
        </w:trPr>
        <w:tc>
          <w:tcPr>
            <w:tcW w:w="752" w:type="pct"/>
            <w:vMerge/>
            <w:vAlign w:val="center"/>
            <w:hideMark/>
          </w:tcPr>
          <w:p w14:paraId="052C92F0" w14:textId="77777777" w:rsidR="003855FD" w:rsidRPr="0073029B" w:rsidRDefault="003855FD" w:rsidP="004D2834">
            <w:pPr>
              <w:spacing w:after="0" w:line="240" w:lineRule="auto"/>
              <w:rPr>
                <w:rFonts w:eastAsia="Times New Roman" w:cs="Tahoma"/>
                <w:b/>
                <w:bCs/>
                <w:color w:val="000000"/>
                <w:szCs w:val="16"/>
                <w:lang w:eastAsia="es-CR"/>
              </w:rPr>
            </w:pPr>
          </w:p>
        </w:tc>
        <w:tc>
          <w:tcPr>
            <w:tcW w:w="635" w:type="pct"/>
            <w:shd w:val="clear" w:color="auto" w:fill="auto"/>
            <w:hideMark/>
          </w:tcPr>
          <w:p w14:paraId="1A0DB4B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613" w:type="pct"/>
            <w:shd w:val="clear" w:color="auto" w:fill="auto"/>
            <w:hideMark/>
          </w:tcPr>
          <w:p w14:paraId="1ADB8F4E"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Género: NA</w:t>
            </w:r>
          </w:p>
        </w:tc>
      </w:tr>
      <w:tr w:rsidR="003855FD" w:rsidRPr="0073029B" w14:paraId="4AAE313D" w14:textId="77777777" w:rsidTr="004D2834">
        <w:trPr>
          <w:trHeight w:val="288"/>
        </w:trPr>
        <w:tc>
          <w:tcPr>
            <w:tcW w:w="1387" w:type="pct"/>
            <w:gridSpan w:val="2"/>
            <w:shd w:val="clear" w:color="auto" w:fill="auto"/>
            <w:hideMark/>
          </w:tcPr>
          <w:p w14:paraId="7100E31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613" w:type="pct"/>
            <w:shd w:val="clear" w:color="auto" w:fill="auto"/>
            <w:hideMark/>
          </w:tcPr>
          <w:p w14:paraId="4A160AEE"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2022: 53</w:t>
            </w:r>
          </w:p>
        </w:tc>
      </w:tr>
      <w:tr w:rsidR="003855FD" w:rsidRPr="0073029B" w14:paraId="687CE0B5" w14:textId="77777777" w:rsidTr="004D2834">
        <w:trPr>
          <w:trHeight w:val="1020"/>
        </w:trPr>
        <w:tc>
          <w:tcPr>
            <w:tcW w:w="1387" w:type="pct"/>
            <w:gridSpan w:val="2"/>
            <w:shd w:val="clear" w:color="auto" w:fill="auto"/>
            <w:hideMark/>
          </w:tcPr>
          <w:p w14:paraId="17A3D6C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613" w:type="pct"/>
            <w:shd w:val="clear" w:color="auto" w:fill="auto"/>
            <w:vAlign w:val="center"/>
            <w:hideMark/>
          </w:tcPr>
          <w:p w14:paraId="0372DC5F" w14:textId="77777777" w:rsidR="003855FD" w:rsidRPr="0073029B" w:rsidRDefault="003855FD" w:rsidP="004D2834">
            <w:pPr>
              <w:spacing w:after="0" w:line="240" w:lineRule="auto"/>
              <w:ind w:right="47"/>
              <w:rPr>
                <w:rFonts w:eastAsia="Times New Roman" w:cs="Tahoma"/>
                <w:color w:val="000000"/>
                <w:szCs w:val="16"/>
                <w:lang w:eastAsia="es-CR"/>
              </w:rPr>
            </w:pPr>
            <w:r w:rsidRPr="0073029B">
              <w:rPr>
                <w:rFonts w:eastAsia="Times New Roman" w:cs="Tahoma"/>
                <w:color w:val="000000"/>
                <w:szCs w:val="16"/>
                <w:lang w:eastAsia="es-CR"/>
              </w:rPr>
              <w:t>2023-2026: 65</w:t>
            </w:r>
            <w:r w:rsidRPr="0073029B">
              <w:rPr>
                <w:rFonts w:eastAsia="Times New Roman" w:cs="Tahoma"/>
                <w:color w:val="000000"/>
                <w:szCs w:val="16"/>
                <w:lang w:eastAsia="es-CR"/>
              </w:rPr>
              <w:br/>
              <w:t>2023: 0</w:t>
            </w:r>
            <w:r w:rsidRPr="0073029B">
              <w:rPr>
                <w:rFonts w:eastAsia="Times New Roman" w:cs="Tahoma"/>
                <w:color w:val="000000"/>
                <w:szCs w:val="16"/>
                <w:lang w:eastAsia="es-CR"/>
              </w:rPr>
              <w:br/>
              <w:t>2024: 59</w:t>
            </w:r>
            <w:r w:rsidRPr="0073029B">
              <w:rPr>
                <w:rFonts w:eastAsia="Times New Roman" w:cs="Tahoma"/>
                <w:color w:val="000000"/>
                <w:szCs w:val="16"/>
                <w:lang w:eastAsia="es-CR"/>
              </w:rPr>
              <w:br/>
              <w:t>2025: 62</w:t>
            </w:r>
            <w:r w:rsidRPr="0073029B">
              <w:rPr>
                <w:rFonts w:eastAsia="Times New Roman" w:cs="Tahoma"/>
                <w:color w:val="000000"/>
                <w:szCs w:val="16"/>
                <w:lang w:eastAsia="es-CR"/>
              </w:rPr>
              <w:br/>
              <w:t>2026: 65</w:t>
            </w:r>
          </w:p>
        </w:tc>
      </w:tr>
      <w:tr w:rsidR="003855FD" w:rsidRPr="0073029B" w14:paraId="69C9EC50" w14:textId="77777777" w:rsidTr="004D2834">
        <w:trPr>
          <w:trHeight w:val="480"/>
        </w:trPr>
        <w:tc>
          <w:tcPr>
            <w:tcW w:w="1387" w:type="pct"/>
            <w:gridSpan w:val="2"/>
            <w:shd w:val="clear" w:color="auto" w:fill="auto"/>
            <w:hideMark/>
          </w:tcPr>
          <w:p w14:paraId="19C5627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w:t>
            </w:r>
            <w:r w:rsidRPr="0073029B">
              <w:rPr>
                <w:rFonts w:eastAsia="Times New Roman" w:cs="Tahoma"/>
                <w:b/>
                <w:bCs/>
                <w:color w:val="000000"/>
                <w:szCs w:val="16"/>
                <w:lang w:eastAsia="es-CR"/>
              </w:rPr>
              <w:br/>
              <w:t>seguimiento</w:t>
            </w:r>
          </w:p>
        </w:tc>
        <w:tc>
          <w:tcPr>
            <w:tcW w:w="3613" w:type="pct"/>
            <w:shd w:val="clear" w:color="auto" w:fill="auto"/>
            <w:hideMark/>
          </w:tcPr>
          <w:p w14:paraId="445E1EA1"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Semestral y Anual</w:t>
            </w:r>
          </w:p>
        </w:tc>
      </w:tr>
      <w:tr w:rsidR="003855FD" w:rsidRPr="0073029B" w14:paraId="034E5DB1" w14:textId="77777777" w:rsidTr="004D2834">
        <w:trPr>
          <w:trHeight w:val="840"/>
        </w:trPr>
        <w:tc>
          <w:tcPr>
            <w:tcW w:w="1387" w:type="pct"/>
            <w:gridSpan w:val="2"/>
            <w:shd w:val="clear" w:color="auto" w:fill="auto"/>
            <w:hideMark/>
          </w:tcPr>
          <w:p w14:paraId="027BB38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613" w:type="pct"/>
            <w:shd w:val="clear" w:color="auto" w:fill="auto"/>
            <w:hideMark/>
          </w:tcPr>
          <w:p w14:paraId="5EA1E155"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Ministerio de Justicia y Paz, Dirección General de Adaptación Social (DGAS), Centros de atención institucional de población adulta y penal juvenil, carpeta compartida SIGI\</w:t>
            </w:r>
            <w:proofErr w:type="spellStart"/>
            <w:r w:rsidRPr="0073029B">
              <w:rPr>
                <w:rFonts w:eastAsia="Times New Roman" w:cs="Tahoma"/>
                <w:color w:val="000000"/>
                <w:szCs w:val="16"/>
                <w:lang w:eastAsia="es-CR"/>
              </w:rPr>
              <w:t>mjp_indicadores</w:t>
            </w:r>
            <w:proofErr w:type="spellEnd"/>
            <w:r w:rsidRPr="0073029B">
              <w:rPr>
                <w:rFonts w:eastAsia="Times New Roman" w:cs="Tahoma"/>
                <w:color w:val="000000"/>
                <w:szCs w:val="16"/>
                <w:lang w:eastAsia="es-CR"/>
              </w:rPr>
              <w:t>, Instrumento de recopilación de la información de los indicadores del Plan Operativo Institucional (por centro penitenciario y año).</w:t>
            </w:r>
          </w:p>
        </w:tc>
      </w:tr>
      <w:tr w:rsidR="003855FD" w:rsidRPr="0073029B" w14:paraId="2DDB5C9A" w14:textId="77777777" w:rsidTr="004D2834">
        <w:trPr>
          <w:trHeight w:val="450"/>
        </w:trPr>
        <w:tc>
          <w:tcPr>
            <w:tcW w:w="1387" w:type="pct"/>
            <w:gridSpan w:val="2"/>
            <w:vMerge w:val="restart"/>
            <w:shd w:val="clear" w:color="auto" w:fill="auto"/>
            <w:hideMark/>
          </w:tcPr>
          <w:p w14:paraId="706CF15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613" w:type="pct"/>
            <w:vMerge w:val="restart"/>
            <w:shd w:val="clear" w:color="auto" w:fill="auto"/>
            <w:hideMark/>
          </w:tcPr>
          <w:p w14:paraId="1E729C1A" w14:textId="77777777" w:rsidR="003855FD" w:rsidRPr="0073029B" w:rsidRDefault="003855FD" w:rsidP="004D2834">
            <w:pPr>
              <w:spacing w:after="0" w:line="240" w:lineRule="auto"/>
              <w:ind w:right="47"/>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X ) Efecto.</w:t>
            </w:r>
            <w:r w:rsidRPr="0073029B">
              <w:rPr>
                <w:rFonts w:eastAsia="Times New Roman" w:cs="Tahoma"/>
                <w:color w:val="000000"/>
                <w:szCs w:val="16"/>
                <w:lang w:eastAsia="es-CR"/>
              </w:rPr>
              <w:br/>
              <w:t>( ) Producto.</w:t>
            </w:r>
          </w:p>
        </w:tc>
      </w:tr>
      <w:tr w:rsidR="003855FD" w:rsidRPr="0073029B" w14:paraId="7A04F448" w14:textId="77777777" w:rsidTr="004D2834">
        <w:trPr>
          <w:trHeight w:val="450"/>
        </w:trPr>
        <w:tc>
          <w:tcPr>
            <w:tcW w:w="1387" w:type="pct"/>
            <w:gridSpan w:val="2"/>
            <w:vMerge/>
            <w:vAlign w:val="center"/>
            <w:hideMark/>
          </w:tcPr>
          <w:p w14:paraId="537C3A8A" w14:textId="77777777" w:rsidR="003855FD" w:rsidRPr="0073029B" w:rsidRDefault="003855FD" w:rsidP="004D2834">
            <w:pPr>
              <w:spacing w:after="0" w:line="240" w:lineRule="auto"/>
              <w:rPr>
                <w:rFonts w:eastAsia="Times New Roman" w:cs="Tahoma"/>
                <w:b/>
                <w:bCs/>
                <w:color w:val="000000"/>
                <w:szCs w:val="16"/>
                <w:lang w:eastAsia="es-CR"/>
              </w:rPr>
            </w:pPr>
          </w:p>
        </w:tc>
        <w:tc>
          <w:tcPr>
            <w:tcW w:w="3613" w:type="pct"/>
            <w:vMerge/>
            <w:vAlign w:val="center"/>
            <w:hideMark/>
          </w:tcPr>
          <w:p w14:paraId="5FDE9B9E" w14:textId="77777777" w:rsidR="003855FD" w:rsidRPr="0073029B" w:rsidRDefault="003855FD" w:rsidP="004D2834">
            <w:pPr>
              <w:spacing w:after="0" w:line="240" w:lineRule="auto"/>
              <w:ind w:right="47"/>
              <w:jc w:val="both"/>
              <w:rPr>
                <w:rFonts w:eastAsia="Times New Roman" w:cs="Tahoma"/>
                <w:color w:val="000000"/>
                <w:szCs w:val="16"/>
                <w:lang w:eastAsia="es-CR"/>
              </w:rPr>
            </w:pPr>
          </w:p>
        </w:tc>
      </w:tr>
      <w:tr w:rsidR="003855FD" w:rsidRPr="0073029B" w14:paraId="1A7893F9" w14:textId="77777777" w:rsidTr="004D2834">
        <w:trPr>
          <w:trHeight w:val="684"/>
        </w:trPr>
        <w:tc>
          <w:tcPr>
            <w:tcW w:w="1387" w:type="pct"/>
            <w:gridSpan w:val="2"/>
            <w:shd w:val="clear" w:color="auto" w:fill="auto"/>
            <w:hideMark/>
          </w:tcPr>
          <w:p w14:paraId="2B1C5FF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613" w:type="pct"/>
            <w:shd w:val="clear" w:color="auto" w:fill="auto"/>
            <w:hideMark/>
          </w:tcPr>
          <w:p w14:paraId="7A9AA9FF"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Registros de participaciones en procesos de atención para su inserción social integral, de las personas privadas de libertad institucionalizadas.</w:t>
            </w:r>
          </w:p>
        </w:tc>
      </w:tr>
      <w:tr w:rsidR="003855FD" w:rsidRPr="0073029B" w14:paraId="1CBD2D4B" w14:textId="77777777" w:rsidTr="004D2834">
        <w:trPr>
          <w:trHeight w:val="432"/>
        </w:trPr>
        <w:tc>
          <w:tcPr>
            <w:tcW w:w="1387" w:type="pct"/>
            <w:gridSpan w:val="2"/>
            <w:shd w:val="clear" w:color="auto" w:fill="auto"/>
            <w:hideMark/>
          </w:tcPr>
          <w:p w14:paraId="1ED1868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w:t>
            </w:r>
            <w:r w:rsidRPr="0073029B">
              <w:rPr>
                <w:rFonts w:eastAsia="Times New Roman" w:cs="Tahoma"/>
                <w:b/>
                <w:bCs/>
                <w:color w:val="000000"/>
                <w:szCs w:val="16"/>
                <w:lang w:eastAsia="es-CR"/>
              </w:rPr>
              <w:br/>
              <w:t>Sostenible (ODS) vinculado</w:t>
            </w:r>
          </w:p>
        </w:tc>
        <w:tc>
          <w:tcPr>
            <w:tcW w:w="3613" w:type="pct"/>
            <w:shd w:val="clear" w:color="auto" w:fill="auto"/>
            <w:hideMark/>
          </w:tcPr>
          <w:p w14:paraId="6721F4E7"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16: 16.7.2</w:t>
            </w:r>
          </w:p>
        </w:tc>
      </w:tr>
      <w:tr w:rsidR="003855FD" w:rsidRPr="0073029B" w14:paraId="2035A5D7" w14:textId="77777777" w:rsidTr="004D2834">
        <w:trPr>
          <w:trHeight w:val="432"/>
        </w:trPr>
        <w:tc>
          <w:tcPr>
            <w:tcW w:w="1387" w:type="pct"/>
            <w:gridSpan w:val="2"/>
            <w:shd w:val="clear" w:color="auto" w:fill="auto"/>
            <w:hideMark/>
          </w:tcPr>
          <w:p w14:paraId="207F54E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613" w:type="pct"/>
            <w:shd w:val="clear" w:color="auto" w:fill="auto"/>
            <w:hideMark/>
          </w:tcPr>
          <w:p w14:paraId="4FE85C9C" w14:textId="77777777" w:rsidR="003855FD" w:rsidRPr="0073029B" w:rsidRDefault="003855FD" w:rsidP="004D2834">
            <w:pPr>
              <w:spacing w:after="0" w:line="240" w:lineRule="auto"/>
              <w:ind w:right="47"/>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259A0256" w14:textId="77777777" w:rsidTr="004D2834">
        <w:trPr>
          <w:trHeight w:val="432"/>
        </w:trPr>
        <w:tc>
          <w:tcPr>
            <w:tcW w:w="1387" w:type="pct"/>
            <w:gridSpan w:val="2"/>
            <w:shd w:val="clear" w:color="auto" w:fill="auto"/>
            <w:hideMark/>
          </w:tcPr>
          <w:p w14:paraId="4527E26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w:t>
            </w:r>
            <w:r w:rsidRPr="0073029B">
              <w:rPr>
                <w:rFonts w:eastAsia="Times New Roman" w:cs="Tahoma"/>
                <w:b/>
                <w:bCs/>
                <w:color w:val="000000"/>
                <w:szCs w:val="16"/>
                <w:lang w:eastAsia="es-CR"/>
              </w:rPr>
              <w:br/>
              <w:t>de Montevideo</w:t>
            </w:r>
          </w:p>
        </w:tc>
        <w:tc>
          <w:tcPr>
            <w:tcW w:w="3613" w:type="pct"/>
            <w:shd w:val="clear" w:color="auto" w:fill="auto"/>
            <w:hideMark/>
          </w:tcPr>
          <w:p w14:paraId="262647B7"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A:2</w:t>
            </w:r>
          </w:p>
        </w:tc>
      </w:tr>
      <w:tr w:rsidR="003855FD" w:rsidRPr="0073029B" w14:paraId="7AAEF9A5" w14:textId="77777777" w:rsidTr="004D2834">
        <w:trPr>
          <w:trHeight w:val="432"/>
        </w:trPr>
        <w:tc>
          <w:tcPr>
            <w:tcW w:w="1387" w:type="pct"/>
            <w:gridSpan w:val="2"/>
            <w:shd w:val="clear" w:color="auto" w:fill="auto"/>
            <w:hideMark/>
          </w:tcPr>
          <w:p w14:paraId="2058625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w:t>
            </w:r>
            <w:r w:rsidRPr="0073029B">
              <w:rPr>
                <w:rFonts w:eastAsia="Times New Roman" w:cs="Tahoma"/>
                <w:b/>
                <w:bCs/>
                <w:color w:val="000000"/>
                <w:szCs w:val="16"/>
                <w:lang w:eastAsia="es-CR"/>
              </w:rPr>
              <w:br/>
              <w:t>Desarrollo</w:t>
            </w:r>
          </w:p>
        </w:tc>
        <w:tc>
          <w:tcPr>
            <w:tcW w:w="3613" w:type="pct"/>
            <w:shd w:val="clear" w:color="auto" w:fill="auto"/>
            <w:hideMark/>
          </w:tcPr>
          <w:p w14:paraId="79C0F61F"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NA</w:t>
            </w:r>
          </w:p>
        </w:tc>
      </w:tr>
      <w:tr w:rsidR="003855FD" w:rsidRPr="0073029B" w14:paraId="35581A3C" w14:textId="77777777" w:rsidTr="004D2834">
        <w:trPr>
          <w:trHeight w:val="300"/>
        </w:trPr>
        <w:tc>
          <w:tcPr>
            <w:tcW w:w="1387" w:type="pct"/>
            <w:gridSpan w:val="2"/>
            <w:shd w:val="clear" w:color="auto" w:fill="auto"/>
            <w:hideMark/>
          </w:tcPr>
          <w:p w14:paraId="25AC2ED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613" w:type="pct"/>
            <w:shd w:val="clear" w:color="auto" w:fill="auto"/>
            <w:hideMark/>
          </w:tcPr>
          <w:p w14:paraId="598DF0B4"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color w:val="000000"/>
                <w:szCs w:val="16"/>
                <w:lang w:eastAsia="es-CR"/>
              </w:rPr>
              <w:t>-</w:t>
            </w:r>
          </w:p>
        </w:tc>
      </w:tr>
      <w:tr w:rsidR="003855FD" w:rsidRPr="0073029B" w14:paraId="05909201" w14:textId="77777777" w:rsidTr="004D2834">
        <w:trPr>
          <w:trHeight w:val="1059"/>
        </w:trPr>
        <w:tc>
          <w:tcPr>
            <w:tcW w:w="1387" w:type="pct"/>
            <w:gridSpan w:val="2"/>
            <w:shd w:val="clear" w:color="auto" w:fill="003A70"/>
            <w:hideMark/>
          </w:tcPr>
          <w:p w14:paraId="0FF3386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613" w:type="pct"/>
            <w:shd w:val="clear" w:color="auto" w:fill="auto"/>
            <w:hideMark/>
          </w:tcPr>
          <w:p w14:paraId="00C7A1A3" w14:textId="77777777" w:rsidR="003855FD" w:rsidRPr="0073029B" w:rsidRDefault="003855FD" w:rsidP="004D2834">
            <w:pPr>
              <w:spacing w:after="0" w:line="240" w:lineRule="auto"/>
              <w:ind w:right="47"/>
              <w:jc w:val="both"/>
              <w:rPr>
                <w:rFonts w:eastAsia="Times New Roman" w:cs="Tahoma"/>
                <w:color w:val="000000"/>
                <w:szCs w:val="16"/>
                <w:lang w:eastAsia="es-CR"/>
              </w:rPr>
            </w:pPr>
            <w:r w:rsidRPr="0073029B">
              <w:rPr>
                <w:rFonts w:eastAsia="Times New Roman" w:cs="Tahoma"/>
                <w:b/>
                <w:bCs/>
                <w:color w:val="000000"/>
                <w:szCs w:val="16"/>
                <w:lang w:eastAsia="es-CR"/>
              </w:rPr>
              <w:t xml:space="preserve">2023: </w:t>
            </w:r>
            <w:r w:rsidRPr="0073029B">
              <w:rPr>
                <w:rFonts w:eastAsia="Times New Roman" w:cs="Tahoma"/>
                <w:color w:val="000000"/>
                <w:szCs w:val="16"/>
                <w:lang w:eastAsia="es-CR"/>
              </w:rPr>
              <w:t>Se modificó el nombre del indicador, la fórmula de cálculo, los componentes de la fórmula de cálculo, la interpretación, la línea base y las metas. Oficio de aprobación MIDEPLAN-DM-OF-2026-2023at.of.MJP-DM-SC-052y 054 2023 (rige a partir de 2024).</w:t>
            </w:r>
            <w:r w:rsidRPr="0073029B">
              <w:rPr>
                <w:rFonts w:eastAsia="Times New Roman" w:cs="Tahoma"/>
                <w:color w:val="000000"/>
                <w:szCs w:val="16"/>
                <w:lang w:eastAsia="es-CR"/>
              </w:rPr>
              <w:br/>
            </w:r>
            <w:r w:rsidRPr="0073029B">
              <w:rPr>
                <w:rFonts w:eastAsia="Times New Roman" w:cs="Tahoma"/>
                <w:b/>
                <w:bCs/>
                <w:color w:val="000000"/>
                <w:szCs w:val="16"/>
                <w:lang w:eastAsia="es-CR"/>
              </w:rPr>
              <w:t>2024:</w:t>
            </w:r>
            <w:r w:rsidRPr="0073029B">
              <w:rPr>
                <w:rFonts w:eastAsia="Times New Roman" w:cs="Tahoma"/>
                <w:color w:val="000000"/>
                <w:szCs w:val="16"/>
                <w:lang w:eastAsia="es-CR"/>
              </w:rPr>
              <w:t xml:space="preserve"> Se modificó la definición conceptual, la fuente de información y el tipo de operación estadística. Oficio de aprobación </w:t>
            </w:r>
            <w:bookmarkStart w:id="54" w:name="_Hlk191298254"/>
            <w:r w:rsidRPr="0073029B">
              <w:rPr>
                <w:rFonts w:eastAsia="Times New Roman" w:cs="Tahoma"/>
                <w:color w:val="000000"/>
                <w:szCs w:val="16"/>
                <w:lang w:eastAsia="es-CR"/>
              </w:rPr>
              <w:t xml:space="preserve">MIDEPLAN-DVM-OF-0080-2024 </w:t>
            </w:r>
            <w:bookmarkEnd w:id="54"/>
            <w:r w:rsidRPr="0073029B">
              <w:rPr>
                <w:rFonts w:eastAsia="Times New Roman" w:cs="Tahoma"/>
                <w:color w:val="000000"/>
                <w:szCs w:val="16"/>
                <w:lang w:eastAsia="es-CR"/>
              </w:rPr>
              <w:t>(rige a partir de 2024).</w:t>
            </w:r>
          </w:p>
        </w:tc>
      </w:tr>
    </w:tbl>
    <w:p w14:paraId="163DF527" w14:textId="77777777" w:rsidR="003855FD" w:rsidRPr="0073029B" w:rsidRDefault="003855FD" w:rsidP="003855FD">
      <w:pPr>
        <w:pStyle w:val="Default"/>
        <w:rPr>
          <w:rFonts w:ascii="Tahoma" w:eastAsia="Arial Narrow" w:hAnsi="Tahoma" w:cs="Tahoma"/>
          <w:sz w:val="16"/>
        </w:rPr>
      </w:pPr>
      <w:r w:rsidRPr="0073029B">
        <w:rPr>
          <w:rFonts w:ascii="Tahoma" w:eastAsia="Arial Narrow" w:hAnsi="Tahoma" w:cs="Tahoma"/>
          <w:sz w:val="16"/>
        </w:rPr>
        <w:t>Fuente: Dirección General de Adaptación Social, Ministerio de Justicia y Paz.</w:t>
      </w:r>
    </w:p>
    <w:p w14:paraId="61F28E66" w14:textId="77777777" w:rsidR="003855FD" w:rsidRPr="0073029B" w:rsidRDefault="003855FD" w:rsidP="003855FD">
      <w:pPr>
        <w:pStyle w:val="Default"/>
        <w:rPr>
          <w:rFonts w:ascii="Tahoma" w:eastAsia="Arial Narrow" w:hAnsi="Tahoma" w:cs="Tahoma"/>
          <w:sz w:val="16"/>
        </w:rPr>
      </w:pPr>
    </w:p>
    <w:p w14:paraId="314DC697" w14:textId="77777777" w:rsidR="003855FD" w:rsidRPr="0073029B" w:rsidRDefault="003855FD" w:rsidP="003855FD">
      <w:pPr>
        <w:autoSpaceDE w:val="0"/>
        <w:autoSpaceDN w:val="0"/>
        <w:adjustRightInd w:val="0"/>
        <w:spacing w:after="0" w:line="240" w:lineRule="auto"/>
        <w:jc w:val="both"/>
        <w:rPr>
          <w:rFonts w:cs="Tahoma"/>
          <w:b/>
          <w:sz w:val="18"/>
          <w:szCs w:val="18"/>
        </w:rPr>
      </w:pPr>
      <w:bookmarkStart w:id="55" w:name="_Hlk204245033"/>
      <w:r w:rsidRPr="0073029B">
        <w:rPr>
          <w:rFonts w:cs="Tahoma"/>
          <w:b/>
          <w:sz w:val="18"/>
          <w:szCs w:val="18"/>
        </w:rPr>
        <w:lastRenderedPageBreak/>
        <w:t xml:space="preserve">Objetivo 1.2: </w:t>
      </w:r>
      <w:r w:rsidRPr="0073029B">
        <w:rPr>
          <w:rFonts w:cs="Tahoma"/>
          <w:sz w:val="18"/>
          <w:szCs w:val="18"/>
        </w:rPr>
        <w:t>Implementar acciones en conjunto con los actores sociales que intervienen en los procesos de ejecución de las medidas privativas de libertad, para la adecuada inserción social de la población penitenciaria.</w:t>
      </w:r>
    </w:p>
    <w:bookmarkEnd w:id="55"/>
    <w:p w14:paraId="0FC84B40" w14:textId="77777777" w:rsidR="003855FD" w:rsidRPr="0073029B" w:rsidRDefault="003855FD" w:rsidP="003855FD">
      <w:pPr>
        <w:pStyle w:val="Default"/>
        <w:rPr>
          <w:rFonts w:ascii="Tahoma" w:eastAsia="Arial Narrow" w:hAnsi="Tahoma" w:cs="Tahoma"/>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1249"/>
        <w:gridCol w:w="6595"/>
      </w:tblGrid>
      <w:tr w:rsidR="003855FD" w:rsidRPr="0073029B" w14:paraId="49713764" w14:textId="77777777" w:rsidTr="004D2834">
        <w:trPr>
          <w:trHeight w:val="228"/>
          <w:tblHeader/>
        </w:trPr>
        <w:tc>
          <w:tcPr>
            <w:tcW w:w="1463" w:type="pct"/>
            <w:gridSpan w:val="2"/>
            <w:shd w:val="clear" w:color="auto" w:fill="003A70"/>
            <w:hideMark/>
          </w:tcPr>
          <w:p w14:paraId="11FB992A"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537" w:type="pct"/>
            <w:shd w:val="clear" w:color="auto" w:fill="003A70"/>
            <w:hideMark/>
          </w:tcPr>
          <w:p w14:paraId="7C2F9B99"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A.1.1.2</w:t>
            </w:r>
          </w:p>
        </w:tc>
      </w:tr>
      <w:tr w:rsidR="003855FD" w:rsidRPr="0073029B" w14:paraId="435B4ED1" w14:textId="77777777" w:rsidTr="004D2834">
        <w:trPr>
          <w:trHeight w:val="161"/>
          <w:tblHeader/>
        </w:trPr>
        <w:tc>
          <w:tcPr>
            <w:tcW w:w="1463" w:type="pct"/>
            <w:gridSpan w:val="2"/>
            <w:shd w:val="clear" w:color="000000" w:fill="D9D9D9"/>
            <w:vAlign w:val="center"/>
            <w:hideMark/>
          </w:tcPr>
          <w:p w14:paraId="1766C615"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37" w:type="pct"/>
            <w:shd w:val="clear" w:color="000000" w:fill="D9D9D9"/>
            <w:vAlign w:val="center"/>
            <w:hideMark/>
          </w:tcPr>
          <w:p w14:paraId="5CC9C36F"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44427FA9" w14:textId="77777777" w:rsidTr="004D2834">
        <w:trPr>
          <w:trHeight w:val="434"/>
        </w:trPr>
        <w:tc>
          <w:tcPr>
            <w:tcW w:w="1463" w:type="pct"/>
            <w:gridSpan w:val="2"/>
            <w:shd w:val="clear" w:color="auto" w:fill="003A70"/>
            <w:hideMark/>
          </w:tcPr>
          <w:p w14:paraId="20EB8B6F" w14:textId="77777777" w:rsidR="003855FD" w:rsidRPr="0073029B" w:rsidRDefault="003855FD" w:rsidP="006C4460">
            <w:pPr>
              <w:rPr>
                <w:rFonts w:cs="Tahoma"/>
                <w:b/>
                <w:bCs/>
                <w:lang w:eastAsia="es-CR"/>
              </w:rPr>
            </w:pPr>
            <w:r w:rsidRPr="0073029B">
              <w:rPr>
                <w:rFonts w:cs="Tahoma"/>
                <w:b/>
                <w:bCs/>
                <w:lang w:eastAsia="es-CR"/>
              </w:rPr>
              <w:t>Nombre del indicador</w:t>
            </w:r>
          </w:p>
        </w:tc>
        <w:tc>
          <w:tcPr>
            <w:tcW w:w="3537" w:type="pct"/>
            <w:shd w:val="clear" w:color="auto" w:fill="003A70"/>
            <w:hideMark/>
          </w:tcPr>
          <w:p w14:paraId="0750DD32" w14:textId="77777777" w:rsidR="003855FD" w:rsidRPr="0073029B" w:rsidRDefault="003855FD" w:rsidP="006C4460">
            <w:pPr>
              <w:jc w:val="both"/>
              <w:rPr>
                <w:rFonts w:cs="Tahoma"/>
                <w:b/>
                <w:bCs/>
                <w:lang w:eastAsia="es-CR"/>
              </w:rPr>
            </w:pPr>
            <w:bookmarkStart w:id="56" w:name="_Toc202257788"/>
            <w:r w:rsidRPr="0073029B">
              <w:rPr>
                <w:rFonts w:cs="Tahoma"/>
                <w:b/>
                <w:bCs/>
              </w:rPr>
              <w:t>A.1.1.2 Promedio mensual de personas privadas de libertad que participan en actividades ocupacionales remuneradas y autogestionarias dentro del Sistema Penitenciario Nacional.</w:t>
            </w:r>
            <w:bookmarkEnd w:id="56"/>
          </w:p>
        </w:tc>
      </w:tr>
      <w:tr w:rsidR="003855FD" w:rsidRPr="0073029B" w14:paraId="61BB6669" w14:textId="77777777" w:rsidTr="004D2834">
        <w:trPr>
          <w:trHeight w:val="400"/>
        </w:trPr>
        <w:tc>
          <w:tcPr>
            <w:tcW w:w="1463" w:type="pct"/>
            <w:gridSpan w:val="2"/>
            <w:shd w:val="clear" w:color="auto" w:fill="auto"/>
            <w:hideMark/>
          </w:tcPr>
          <w:p w14:paraId="46284E9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37" w:type="pct"/>
            <w:shd w:val="clear" w:color="auto" w:fill="auto"/>
            <w:hideMark/>
          </w:tcPr>
          <w:p w14:paraId="135BA251" w14:textId="77777777" w:rsidR="003855FD" w:rsidRPr="0073029B" w:rsidRDefault="003855FD" w:rsidP="006C4460">
            <w:pPr>
              <w:rPr>
                <w:rFonts w:eastAsia="Times New Roman" w:cs="Tahoma"/>
                <w:color w:val="000000"/>
                <w:lang w:eastAsia="es-CR"/>
              </w:rPr>
            </w:pPr>
            <w:r w:rsidRPr="0073029B">
              <w:rPr>
                <w:rFonts w:eastAsia="Times New Roman" w:cs="Tahoma"/>
                <w:color w:val="000000"/>
                <w:lang w:eastAsia="es-CR"/>
              </w:rPr>
              <w:t>La generación de oportunidades ocupaciones renumerados para las personas privadas de libertad, se enmarca dentro del Programa Construyendo Oportunidades, el cual se orienta al desarrollo de acciones en materia laboral, de capacitación, educativas y formativas, que aportan a mejorar el perfil ocupacional de la población penitenciaria, aspectos que coadyuvan a la adecuada inserción social. El trabajo es uno de los componentes básicos del plan de atención técnica que promueve la Dirección General de Adaptación Social en beneficio de la población penal atendida y uno de los temas que más interés despierta en la población penal debido a los beneficios que del mismo se derivan no solo a nivel emocional por la posibilidad de alcanzar un mayor desarrollo personal, sino además por la opción de descontar la pena y en la medida de lo posible contar con un incentivo económico para la atención de algunas de sus necesidades básicas, incluida la opción de aportar económicamente a su núcleo familiar.</w:t>
            </w:r>
          </w:p>
          <w:p w14:paraId="3D6EBE64" w14:textId="77777777" w:rsidR="003855FD" w:rsidRPr="0073029B" w:rsidRDefault="003855FD" w:rsidP="006C4460">
            <w:pPr>
              <w:rPr>
                <w:rFonts w:eastAsia="Times New Roman" w:cs="Tahoma"/>
                <w:color w:val="000000"/>
                <w:lang w:eastAsia="es-CR"/>
              </w:rPr>
            </w:pPr>
          </w:p>
          <w:p w14:paraId="5C8AC84F" w14:textId="77777777" w:rsidR="003855FD" w:rsidRPr="0073029B" w:rsidRDefault="003855FD" w:rsidP="006C4460">
            <w:pPr>
              <w:rPr>
                <w:rFonts w:eastAsia="Times New Roman" w:cs="Tahoma"/>
                <w:color w:val="000000"/>
                <w:lang w:eastAsia="es-CR"/>
              </w:rPr>
            </w:pPr>
            <w:r w:rsidRPr="0073029B">
              <w:rPr>
                <w:rFonts w:eastAsia="Times New Roman" w:cs="Tahoma"/>
                <w:color w:val="000000"/>
                <w:lang w:eastAsia="es-CR"/>
              </w:rPr>
              <w:t xml:space="preserve">Las actividades ocupacionales son generadas tanto por proyectos institucionales, como producto de convenios de empresas privadas, y otorgan un incentivo económico por una jornada laboral de acuerdo con las condiciones de la actividad desarrollada y de conformidad con lo establecido en el artículo 197 del Decreto Ejecutivo 40849-JP, Reglamento del Sistema Penitenciario. Las actividades ocupacionales remuneradas se refieren a las actividades de índole laboral y remunerada que la población privada de libertad sentenciada e indiciada realiza durante la ejecución de las penas privativas de libertad. Entre estas se destacan: </w:t>
            </w:r>
          </w:p>
          <w:p w14:paraId="53337190" w14:textId="77777777" w:rsidR="003855FD" w:rsidRPr="0073029B" w:rsidRDefault="003855FD" w:rsidP="006C4460">
            <w:pPr>
              <w:rPr>
                <w:rFonts w:eastAsia="Times New Roman" w:cs="Tahoma"/>
                <w:color w:val="000000"/>
                <w:lang w:eastAsia="es-CR"/>
              </w:rPr>
            </w:pPr>
            <w:r w:rsidRPr="0073029B">
              <w:rPr>
                <w:rFonts w:eastAsia="Times New Roman" w:cs="Tahoma"/>
                <w:color w:val="000000"/>
                <w:lang w:eastAsia="es-CR"/>
              </w:rPr>
              <w:t xml:space="preserve">Actividades renumeras con empresas privadas. </w:t>
            </w:r>
          </w:p>
          <w:p w14:paraId="77988C9B" w14:textId="77777777" w:rsidR="003855FD" w:rsidRPr="0073029B" w:rsidRDefault="003855FD" w:rsidP="006C4460">
            <w:pPr>
              <w:rPr>
                <w:rFonts w:eastAsia="Times New Roman" w:cs="Tahoma"/>
                <w:color w:val="000000"/>
                <w:lang w:eastAsia="es-CR"/>
              </w:rPr>
            </w:pPr>
            <w:r w:rsidRPr="0073029B">
              <w:rPr>
                <w:rFonts w:eastAsia="Times New Roman" w:cs="Tahoma"/>
                <w:color w:val="000000"/>
                <w:lang w:eastAsia="es-CR"/>
              </w:rPr>
              <w:t xml:space="preserve">Servicios generales con incentivo. </w:t>
            </w:r>
          </w:p>
          <w:p w14:paraId="32571AB5" w14:textId="77777777" w:rsidR="003855FD" w:rsidRPr="0073029B" w:rsidRDefault="003855FD" w:rsidP="006C4460">
            <w:pPr>
              <w:rPr>
                <w:rFonts w:eastAsia="Times New Roman" w:cs="Tahoma"/>
                <w:color w:val="000000"/>
                <w:lang w:eastAsia="es-CR"/>
              </w:rPr>
            </w:pPr>
            <w:r w:rsidRPr="0073029B">
              <w:rPr>
                <w:rFonts w:eastAsia="Times New Roman" w:cs="Tahoma"/>
                <w:color w:val="000000"/>
                <w:lang w:eastAsia="es-CR"/>
              </w:rPr>
              <w:t xml:space="preserve">Proyectos agroindustriales. </w:t>
            </w:r>
          </w:p>
          <w:p w14:paraId="52A86A18" w14:textId="77777777" w:rsidR="003855FD" w:rsidRPr="0073029B" w:rsidRDefault="003855FD" w:rsidP="006C4460">
            <w:pPr>
              <w:rPr>
                <w:rFonts w:eastAsia="Times New Roman" w:cs="Tahoma"/>
                <w:color w:val="000000"/>
                <w:lang w:eastAsia="es-CR"/>
              </w:rPr>
            </w:pPr>
            <w:r w:rsidRPr="0073029B">
              <w:rPr>
                <w:rFonts w:eastAsia="Times New Roman" w:cs="Tahoma"/>
                <w:color w:val="000000"/>
                <w:lang w:eastAsia="es-CR"/>
              </w:rPr>
              <w:t xml:space="preserve">Plazas por convenio. </w:t>
            </w:r>
          </w:p>
          <w:p w14:paraId="21FAFA7B" w14:textId="77777777" w:rsidR="003855FD" w:rsidRPr="0073029B" w:rsidRDefault="003855FD" w:rsidP="006C4460">
            <w:pPr>
              <w:rPr>
                <w:rFonts w:eastAsia="Times New Roman" w:cs="Tahoma"/>
                <w:color w:val="000000"/>
                <w:lang w:eastAsia="es-CR"/>
              </w:rPr>
            </w:pPr>
            <w:r w:rsidRPr="0073029B">
              <w:rPr>
                <w:rFonts w:eastAsia="Times New Roman" w:cs="Tahoma"/>
                <w:color w:val="000000"/>
                <w:lang w:eastAsia="es-CR"/>
              </w:rPr>
              <w:t xml:space="preserve">Actividades agrícolas remuneradas. </w:t>
            </w:r>
          </w:p>
          <w:p w14:paraId="3467F968" w14:textId="77777777" w:rsidR="003855FD" w:rsidRPr="0073029B" w:rsidRDefault="003855FD" w:rsidP="006C4460">
            <w:pPr>
              <w:rPr>
                <w:rFonts w:eastAsia="Times New Roman" w:cs="Tahoma"/>
                <w:color w:val="000000"/>
                <w:lang w:eastAsia="es-CR"/>
              </w:rPr>
            </w:pPr>
            <w:r w:rsidRPr="0073029B">
              <w:rPr>
                <w:rFonts w:eastAsia="Times New Roman" w:cs="Tahoma"/>
                <w:color w:val="000000"/>
                <w:lang w:eastAsia="es-CR"/>
              </w:rPr>
              <w:t>Todas aquellas en la que una persona privada de libertad reciba un ingreso o incentivo económico.</w:t>
            </w:r>
          </w:p>
          <w:p w14:paraId="13D7D184" w14:textId="77777777" w:rsidR="003855FD" w:rsidRPr="0073029B" w:rsidRDefault="003855FD" w:rsidP="006C4460">
            <w:pPr>
              <w:rPr>
                <w:rFonts w:eastAsia="Times New Roman" w:cs="Tahoma"/>
                <w:color w:val="000000"/>
                <w:lang w:eastAsia="es-CR"/>
              </w:rPr>
            </w:pPr>
          </w:p>
          <w:p w14:paraId="598D7A69" w14:textId="77777777" w:rsidR="003855FD" w:rsidRPr="0073029B" w:rsidRDefault="003855FD" w:rsidP="006C4460">
            <w:pPr>
              <w:rPr>
                <w:rFonts w:eastAsia="Times New Roman" w:cs="Tahoma"/>
                <w:color w:val="000000"/>
                <w:lang w:eastAsia="es-CR"/>
              </w:rPr>
            </w:pPr>
            <w:r w:rsidRPr="0073029B">
              <w:rPr>
                <w:rFonts w:eastAsia="Times New Roman" w:cs="Tahoma"/>
                <w:color w:val="000000"/>
                <w:lang w:eastAsia="es-CR"/>
              </w:rPr>
              <w:t>Las actividades autogestionarias dentro del contexto penitenciario son aquellas alternativas ocupacionales generadas por la propia persona que posibilitan potenciar su autogestión en el contexto ocupacional, generándose posibilidades de comercialización de un producto por medio de las redes de apoyo de quien realiza la actividad. En el caso del nivel institucional, se contabilizan únicamente las actividades ocupacionales remuneradas relacionadas con la producción de artesanías, debido a las restricciones penitenciarias vigentes. Por ejemplo, la establecida mediante la circular DGAS-01-03-25, la cual indica que las personas privadas de libertad no pueden tener ni usar dinero en efectivo dentro del Sistema Penitenciario Nacional.</w:t>
            </w:r>
          </w:p>
          <w:p w14:paraId="239DF699" w14:textId="77777777" w:rsidR="003855FD" w:rsidRPr="0073029B" w:rsidRDefault="003855FD" w:rsidP="006C4460">
            <w:pPr>
              <w:rPr>
                <w:rFonts w:eastAsia="Times New Roman" w:cs="Tahoma"/>
                <w:color w:val="000000"/>
                <w:lang w:eastAsia="es-CR"/>
              </w:rPr>
            </w:pPr>
          </w:p>
          <w:p w14:paraId="7E0A06FF" w14:textId="77777777" w:rsidR="003855FD" w:rsidRPr="0073029B" w:rsidRDefault="003855FD" w:rsidP="006C4460">
            <w:pPr>
              <w:rPr>
                <w:rFonts w:eastAsia="Times New Roman" w:cs="Tahoma"/>
                <w:color w:val="000000"/>
                <w:lang w:eastAsia="es-CR"/>
              </w:rPr>
            </w:pPr>
            <w:r w:rsidRPr="0073029B">
              <w:rPr>
                <w:rFonts w:eastAsia="Times New Roman" w:cs="Tahoma"/>
                <w:color w:val="000000"/>
                <w:lang w:eastAsia="es-CR"/>
              </w:rPr>
              <w:lastRenderedPageBreak/>
              <w:t>La sumatoria de personas que participan mensualmente en actividades ocupacionales remuneradas y autogestionarias dentro del Sistema Penitenciario Nacional considera solamente las ubicadas en Centros de Atención Institucional y Semi-Institucional. Centros de Atención Institucional: son establecimientos penitenciarios en los cuales las personas con medidas privativas de libertad permanecen recluidos los siete días en la semana. Es el nivel de máxima institucionalización, cuya característica especial es la de posibilitar la contención física y la privación de libertad (libertad de desplazamiento) de la persona ubicada en dichos centros. En éste se desarrollan las acciones dirigidas a las personas que por una disposición Judicial y por sus características, están ubicadas en centros penales cerrados ya que se ha considerado que requieren durante un período transitorio estar físicamente separados de la vida en sociedad. Centros de Atención Semi-Institucional: son establecimientos penitenciarios en los cuales las personas con medidas privativas de libertad, a diferencia de la población de los Centros de Atención Institucional, no está recluida en un centro cerrado, sino que de acuerdo a determinadas condiciones criminológicas y socio personales debe cumplir distintos procesos de participación y de inserción en la sociedad. Este nivel comprende todas aquellas acciones de atención caracterizadas por desarrollar diferentes modalidades de seguimiento a la población penal en la comunidad. La ubicación y atención técnica en este centro se concibe como la alternativa de desinstitucionalización para la persona a quien, previa valoración de su desenvolvimiento dentro de la prisión, se considera que reúne las características para continuar el cumplimiento de la sentencia condenatoria en otras modalidades de mayor participación en la comunidad.</w:t>
            </w:r>
          </w:p>
        </w:tc>
      </w:tr>
      <w:tr w:rsidR="003855FD" w:rsidRPr="0073029B" w14:paraId="1C15C036" w14:textId="77777777" w:rsidTr="004D2834">
        <w:trPr>
          <w:trHeight w:val="520"/>
        </w:trPr>
        <w:tc>
          <w:tcPr>
            <w:tcW w:w="1463" w:type="pct"/>
            <w:gridSpan w:val="2"/>
            <w:shd w:val="clear" w:color="auto" w:fill="auto"/>
            <w:hideMark/>
          </w:tcPr>
          <w:p w14:paraId="6D54BB0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 xml:space="preserve">Fórmula de cálculo </w:t>
            </w:r>
          </w:p>
        </w:tc>
        <w:tc>
          <w:tcPr>
            <w:tcW w:w="3537" w:type="pct"/>
            <w:shd w:val="clear" w:color="auto" w:fill="auto"/>
            <w:hideMark/>
          </w:tcPr>
          <w:p w14:paraId="66992462"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Sumatoria de personas que participan mensualmente en actividades ocupacionales remuneradas y autogestionarias dentro del Sistema Penitenciario / total meses transcurridos del año t.</w:t>
            </w:r>
          </w:p>
        </w:tc>
      </w:tr>
      <w:tr w:rsidR="003855FD" w:rsidRPr="0073029B" w14:paraId="4278AA2A" w14:textId="77777777" w:rsidTr="004D2834">
        <w:trPr>
          <w:trHeight w:val="505"/>
        </w:trPr>
        <w:tc>
          <w:tcPr>
            <w:tcW w:w="1463" w:type="pct"/>
            <w:gridSpan w:val="2"/>
            <w:shd w:val="clear" w:color="auto" w:fill="auto"/>
            <w:hideMark/>
          </w:tcPr>
          <w:p w14:paraId="097B8DB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537" w:type="pct"/>
            <w:shd w:val="clear" w:color="auto" w:fill="auto"/>
            <w:hideMark/>
          </w:tcPr>
          <w:p w14:paraId="63F884D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Personas que participan mensualmente en actividades ocupacionales remuneradas y autogestionarias dentro del sistema penitenciario. </w:t>
            </w:r>
          </w:p>
          <w:p w14:paraId="500DF4E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Meses transcurridos del año t.</w:t>
            </w:r>
          </w:p>
        </w:tc>
      </w:tr>
      <w:tr w:rsidR="003855FD" w:rsidRPr="0073029B" w14:paraId="313562FF" w14:textId="77777777" w:rsidTr="004D2834">
        <w:trPr>
          <w:trHeight w:val="276"/>
        </w:trPr>
        <w:tc>
          <w:tcPr>
            <w:tcW w:w="1463" w:type="pct"/>
            <w:gridSpan w:val="2"/>
            <w:shd w:val="clear" w:color="auto" w:fill="auto"/>
            <w:hideMark/>
          </w:tcPr>
          <w:p w14:paraId="2A24F73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37" w:type="pct"/>
            <w:shd w:val="clear" w:color="auto" w:fill="auto"/>
            <w:hideMark/>
          </w:tcPr>
          <w:p w14:paraId="672C7FF2"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Promedio</w:t>
            </w:r>
          </w:p>
        </w:tc>
      </w:tr>
      <w:tr w:rsidR="003855FD" w:rsidRPr="0073029B" w14:paraId="1F9C4AE6" w14:textId="77777777" w:rsidTr="004D2834">
        <w:trPr>
          <w:trHeight w:val="653"/>
        </w:trPr>
        <w:tc>
          <w:tcPr>
            <w:tcW w:w="1463" w:type="pct"/>
            <w:gridSpan w:val="2"/>
            <w:shd w:val="clear" w:color="auto" w:fill="auto"/>
            <w:hideMark/>
          </w:tcPr>
          <w:p w14:paraId="6823A2A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37" w:type="pct"/>
            <w:shd w:val="clear" w:color="auto" w:fill="auto"/>
            <w:hideMark/>
          </w:tcPr>
          <w:p w14:paraId="3A24E971" w14:textId="77777777" w:rsidR="003855FD" w:rsidRPr="0073029B" w:rsidRDefault="003855FD" w:rsidP="004D2834">
            <w:pPr>
              <w:pStyle w:val="Default"/>
              <w:jc w:val="both"/>
              <w:rPr>
                <w:rFonts w:ascii="Tahoma" w:eastAsia="Times New Roman" w:hAnsi="Tahoma" w:cs="Tahoma"/>
                <w:sz w:val="16"/>
                <w:szCs w:val="16"/>
                <w:lang w:eastAsia="es-CR"/>
              </w:rPr>
            </w:pPr>
            <w:r w:rsidRPr="0073029B">
              <w:rPr>
                <w:rFonts w:ascii="Tahoma" w:eastAsia="Times New Roman" w:hAnsi="Tahoma" w:cs="Tahoma"/>
                <w:sz w:val="16"/>
                <w:szCs w:val="16"/>
                <w:lang w:eastAsia="es-CR"/>
              </w:rPr>
              <w:t>En el año t se presentó un promedio mensual de X personas privadas de libertad insertas en actividades ocupacionales remuneradas y autogestionarias dentro del Sistema Penitenciario Nacional.</w:t>
            </w:r>
          </w:p>
          <w:p w14:paraId="351C7409"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2F1A8F6A" w14:textId="77777777" w:rsidTr="004D2834">
        <w:trPr>
          <w:trHeight w:val="125"/>
        </w:trPr>
        <w:tc>
          <w:tcPr>
            <w:tcW w:w="793" w:type="pct"/>
            <w:vMerge w:val="restart"/>
            <w:shd w:val="clear" w:color="auto" w:fill="auto"/>
            <w:hideMark/>
          </w:tcPr>
          <w:p w14:paraId="49F213E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70" w:type="pct"/>
            <w:shd w:val="clear" w:color="auto" w:fill="auto"/>
            <w:hideMark/>
          </w:tcPr>
          <w:p w14:paraId="66F331A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37" w:type="pct"/>
            <w:shd w:val="clear" w:color="auto" w:fill="auto"/>
            <w:hideMark/>
          </w:tcPr>
          <w:p w14:paraId="1AC5BE1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 y Regional</w:t>
            </w:r>
          </w:p>
        </w:tc>
      </w:tr>
      <w:tr w:rsidR="003855FD" w:rsidRPr="0073029B" w14:paraId="6272DC10" w14:textId="77777777" w:rsidTr="004D2834">
        <w:trPr>
          <w:trHeight w:val="114"/>
        </w:trPr>
        <w:tc>
          <w:tcPr>
            <w:tcW w:w="793" w:type="pct"/>
            <w:vMerge/>
            <w:vAlign w:val="center"/>
            <w:hideMark/>
          </w:tcPr>
          <w:p w14:paraId="28FC902E" w14:textId="77777777" w:rsidR="003855FD" w:rsidRPr="0073029B" w:rsidRDefault="003855FD" w:rsidP="004D2834">
            <w:pPr>
              <w:spacing w:after="0" w:line="240" w:lineRule="auto"/>
              <w:rPr>
                <w:rFonts w:eastAsia="Times New Roman" w:cs="Tahoma"/>
                <w:b/>
                <w:bCs/>
                <w:color w:val="000000"/>
                <w:szCs w:val="16"/>
                <w:lang w:eastAsia="es-CR"/>
              </w:rPr>
            </w:pPr>
          </w:p>
        </w:tc>
        <w:tc>
          <w:tcPr>
            <w:tcW w:w="670" w:type="pct"/>
            <w:shd w:val="clear" w:color="auto" w:fill="auto"/>
            <w:hideMark/>
          </w:tcPr>
          <w:p w14:paraId="7C33F0C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37" w:type="pct"/>
            <w:shd w:val="clear" w:color="auto" w:fill="auto"/>
            <w:hideMark/>
          </w:tcPr>
          <w:p w14:paraId="6FA9DC3C"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Género</w:t>
            </w:r>
          </w:p>
        </w:tc>
      </w:tr>
      <w:tr w:rsidR="003855FD" w:rsidRPr="0073029B" w14:paraId="700FF1C6" w14:textId="77777777" w:rsidTr="004D2834">
        <w:trPr>
          <w:trHeight w:val="104"/>
        </w:trPr>
        <w:tc>
          <w:tcPr>
            <w:tcW w:w="1463" w:type="pct"/>
            <w:gridSpan w:val="2"/>
            <w:shd w:val="clear" w:color="auto" w:fill="auto"/>
            <w:hideMark/>
          </w:tcPr>
          <w:p w14:paraId="6B712BC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537" w:type="pct"/>
            <w:shd w:val="clear" w:color="auto" w:fill="auto"/>
            <w:hideMark/>
          </w:tcPr>
          <w:p w14:paraId="6FAA371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4.602</w:t>
            </w:r>
          </w:p>
        </w:tc>
      </w:tr>
      <w:tr w:rsidR="003855FD" w:rsidRPr="0073029B" w14:paraId="46D735F5" w14:textId="77777777" w:rsidTr="004D2834">
        <w:trPr>
          <w:trHeight w:val="1922"/>
        </w:trPr>
        <w:tc>
          <w:tcPr>
            <w:tcW w:w="1463" w:type="pct"/>
            <w:gridSpan w:val="2"/>
            <w:shd w:val="clear" w:color="auto" w:fill="auto"/>
            <w:hideMark/>
          </w:tcPr>
          <w:p w14:paraId="2EBB2E5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537" w:type="pct"/>
            <w:shd w:val="clear" w:color="auto" w:fill="auto"/>
            <w:hideMark/>
          </w:tcPr>
          <w:p w14:paraId="5DEDB1B8"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 2023-2026: 5.500</w:t>
            </w:r>
          </w:p>
          <w:p w14:paraId="02C7D230" w14:textId="77777777" w:rsidR="003855FD" w:rsidRPr="0073029B" w:rsidRDefault="003855FD" w:rsidP="004D2834">
            <w:pPr>
              <w:spacing w:after="0" w:line="240" w:lineRule="auto"/>
              <w:rPr>
                <w:rFonts w:eastAsia="Times New Roman" w:cs="Tahoma"/>
                <w:color w:val="000000"/>
                <w:szCs w:val="16"/>
                <w:lang w:eastAsia="es-CR"/>
              </w:rPr>
            </w:pPr>
            <w:r w:rsidRPr="0073029B">
              <w:rPr>
                <w:rFonts w:cs="Tahoma"/>
                <w:noProof/>
              </w:rPr>
              <w:drawing>
                <wp:inline distT="0" distB="0" distL="0" distR="0" wp14:anchorId="7FEEC403" wp14:editId="05E297DC">
                  <wp:extent cx="2063750" cy="141098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83035" cy="1424167"/>
                          </a:xfrm>
                          <a:prstGeom prst="rect">
                            <a:avLst/>
                          </a:prstGeom>
                        </pic:spPr>
                      </pic:pic>
                    </a:graphicData>
                  </a:graphic>
                </wp:inline>
              </w:drawing>
            </w:r>
          </w:p>
        </w:tc>
      </w:tr>
      <w:tr w:rsidR="003855FD" w:rsidRPr="0073029B" w14:paraId="315DE187" w14:textId="77777777" w:rsidTr="004D2834">
        <w:trPr>
          <w:trHeight w:val="420"/>
        </w:trPr>
        <w:tc>
          <w:tcPr>
            <w:tcW w:w="1463" w:type="pct"/>
            <w:gridSpan w:val="2"/>
            <w:shd w:val="clear" w:color="auto" w:fill="auto"/>
            <w:hideMark/>
          </w:tcPr>
          <w:p w14:paraId="493DCC8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w:t>
            </w:r>
            <w:r w:rsidRPr="0073029B">
              <w:rPr>
                <w:rFonts w:eastAsia="Times New Roman" w:cs="Tahoma"/>
                <w:b/>
                <w:bCs/>
                <w:color w:val="000000"/>
                <w:szCs w:val="16"/>
                <w:lang w:eastAsia="es-CR"/>
              </w:rPr>
              <w:br/>
              <w:t>seguimiento</w:t>
            </w:r>
          </w:p>
        </w:tc>
        <w:tc>
          <w:tcPr>
            <w:tcW w:w="3537" w:type="pct"/>
            <w:shd w:val="clear" w:color="auto" w:fill="auto"/>
            <w:hideMark/>
          </w:tcPr>
          <w:p w14:paraId="62DC1D5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Semestral y Anual</w:t>
            </w:r>
          </w:p>
        </w:tc>
      </w:tr>
      <w:tr w:rsidR="003855FD" w:rsidRPr="0073029B" w14:paraId="690791F8" w14:textId="77777777" w:rsidTr="004D2834">
        <w:trPr>
          <w:trHeight w:val="1008"/>
        </w:trPr>
        <w:tc>
          <w:tcPr>
            <w:tcW w:w="1463" w:type="pct"/>
            <w:gridSpan w:val="2"/>
            <w:shd w:val="clear" w:color="auto" w:fill="auto"/>
            <w:hideMark/>
          </w:tcPr>
          <w:p w14:paraId="79A1D2D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37" w:type="pct"/>
            <w:shd w:val="clear" w:color="auto" w:fill="auto"/>
            <w:hideMark/>
          </w:tcPr>
          <w:p w14:paraId="5022FB17"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Ministerio de Justicia y Paz, Dirección General de Adaptación Social (DGAS), Centros de Atención Institucional y Semi- Institucional, carpeta compartida SIGI\ </w:t>
            </w:r>
            <w:proofErr w:type="spellStart"/>
            <w:r w:rsidRPr="0073029B">
              <w:rPr>
                <w:rFonts w:eastAsia="Times New Roman" w:cs="Tahoma"/>
                <w:color w:val="000000"/>
                <w:szCs w:val="16"/>
                <w:lang w:eastAsia="es-CR"/>
              </w:rPr>
              <w:t>mjp_indicadores</w:t>
            </w:r>
            <w:proofErr w:type="spellEnd"/>
            <w:r w:rsidRPr="0073029B">
              <w:rPr>
                <w:rFonts w:eastAsia="Times New Roman" w:cs="Tahoma"/>
                <w:color w:val="000000"/>
                <w:szCs w:val="16"/>
                <w:lang w:eastAsia="es-CR"/>
              </w:rPr>
              <w:t>, Instrumento de recopilación de la información de los indicadores del Plan Operativo Institucional (por centro penitenciario y año).</w:t>
            </w:r>
          </w:p>
        </w:tc>
      </w:tr>
      <w:tr w:rsidR="003855FD" w:rsidRPr="0073029B" w14:paraId="0866F139" w14:textId="77777777" w:rsidTr="004D2834">
        <w:trPr>
          <w:trHeight w:val="450"/>
        </w:trPr>
        <w:tc>
          <w:tcPr>
            <w:tcW w:w="1463" w:type="pct"/>
            <w:gridSpan w:val="2"/>
            <w:vMerge w:val="restart"/>
            <w:shd w:val="clear" w:color="auto" w:fill="auto"/>
            <w:hideMark/>
          </w:tcPr>
          <w:p w14:paraId="6277D78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Clasificación</w:t>
            </w:r>
          </w:p>
        </w:tc>
        <w:tc>
          <w:tcPr>
            <w:tcW w:w="3537" w:type="pct"/>
            <w:vMerge w:val="restart"/>
            <w:shd w:val="clear" w:color="auto" w:fill="auto"/>
            <w:hideMark/>
          </w:tcPr>
          <w:p w14:paraId="2A93EFE5"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0344DF3D" w14:textId="77777777" w:rsidTr="004D2834">
        <w:trPr>
          <w:trHeight w:val="450"/>
        </w:trPr>
        <w:tc>
          <w:tcPr>
            <w:tcW w:w="1463" w:type="pct"/>
            <w:gridSpan w:val="2"/>
            <w:vMerge/>
            <w:vAlign w:val="center"/>
            <w:hideMark/>
          </w:tcPr>
          <w:p w14:paraId="7040C0B1" w14:textId="77777777" w:rsidR="003855FD" w:rsidRPr="0073029B" w:rsidRDefault="003855FD" w:rsidP="004D2834">
            <w:pPr>
              <w:spacing w:after="0" w:line="240" w:lineRule="auto"/>
              <w:rPr>
                <w:rFonts w:eastAsia="Times New Roman" w:cs="Tahoma"/>
                <w:b/>
                <w:bCs/>
                <w:color w:val="000000"/>
                <w:szCs w:val="16"/>
                <w:lang w:eastAsia="es-CR"/>
              </w:rPr>
            </w:pPr>
          </w:p>
        </w:tc>
        <w:tc>
          <w:tcPr>
            <w:tcW w:w="3537" w:type="pct"/>
            <w:vMerge/>
            <w:vAlign w:val="center"/>
            <w:hideMark/>
          </w:tcPr>
          <w:p w14:paraId="7F2D2DD9"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44731DE8" w14:textId="77777777" w:rsidTr="004D2834">
        <w:trPr>
          <w:trHeight w:val="612"/>
        </w:trPr>
        <w:tc>
          <w:tcPr>
            <w:tcW w:w="1463" w:type="pct"/>
            <w:gridSpan w:val="2"/>
            <w:shd w:val="clear" w:color="auto" w:fill="auto"/>
            <w:hideMark/>
          </w:tcPr>
          <w:p w14:paraId="0434CEF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37" w:type="pct"/>
            <w:shd w:val="clear" w:color="auto" w:fill="auto"/>
            <w:hideMark/>
          </w:tcPr>
          <w:p w14:paraId="78F4051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Registro administrativo de personas privadas de libertad que participan en actividades ocupacionales remuneradas y autogestionarias dentro del Sistema Penitenciario Nacional.</w:t>
            </w:r>
          </w:p>
        </w:tc>
      </w:tr>
      <w:tr w:rsidR="003855FD" w:rsidRPr="0073029B" w14:paraId="49A05CCC" w14:textId="77777777" w:rsidTr="004D2834">
        <w:trPr>
          <w:trHeight w:val="432"/>
        </w:trPr>
        <w:tc>
          <w:tcPr>
            <w:tcW w:w="1463" w:type="pct"/>
            <w:gridSpan w:val="2"/>
            <w:shd w:val="clear" w:color="auto" w:fill="auto"/>
            <w:hideMark/>
          </w:tcPr>
          <w:p w14:paraId="0F4F159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w:t>
            </w:r>
            <w:r w:rsidRPr="0073029B">
              <w:rPr>
                <w:rFonts w:eastAsia="Times New Roman" w:cs="Tahoma"/>
                <w:b/>
                <w:bCs/>
                <w:color w:val="000000"/>
                <w:szCs w:val="16"/>
                <w:lang w:eastAsia="es-CR"/>
              </w:rPr>
              <w:br/>
              <w:t>Sostenible (ODS) vinculado</w:t>
            </w:r>
          </w:p>
        </w:tc>
        <w:tc>
          <w:tcPr>
            <w:tcW w:w="3537" w:type="pct"/>
            <w:shd w:val="clear" w:color="auto" w:fill="auto"/>
            <w:hideMark/>
          </w:tcPr>
          <w:p w14:paraId="67FC0032"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16: 16.7.2</w:t>
            </w:r>
          </w:p>
        </w:tc>
      </w:tr>
      <w:tr w:rsidR="003855FD" w:rsidRPr="0073029B" w14:paraId="72F6C898" w14:textId="77777777" w:rsidTr="004D2834">
        <w:trPr>
          <w:trHeight w:val="432"/>
        </w:trPr>
        <w:tc>
          <w:tcPr>
            <w:tcW w:w="1463" w:type="pct"/>
            <w:gridSpan w:val="2"/>
            <w:shd w:val="clear" w:color="auto" w:fill="auto"/>
            <w:hideMark/>
          </w:tcPr>
          <w:p w14:paraId="2814E7C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537" w:type="pct"/>
            <w:shd w:val="clear" w:color="auto" w:fill="auto"/>
            <w:hideMark/>
          </w:tcPr>
          <w:p w14:paraId="450BDBA9"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6DB45A19" w14:textId="77777777" w:rsidTr="004D2834">
        <w:trPr>
          <w:trHeight w:val="432"/>
        </w:trPr>
        <w:tc>
          <w:tcPr>
            <w:tcW w:w="1463" w:type="pct"/>
            <w:gridSpan w:val="2"/>
            <w:shd w:val="clear" w:color="auto" w:fill="auto"/>
            <w:hideMark/>
          </w:tcPr>
          <w:p w14:paraId="007A662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w:t>
            </w:r>
            <w:r w:rsidRPr="0073029B">
              <w:rPr>
                <w:rFonts w:eastAsia="Times New Roman" w:cs="Tahoma"/>
                <w:b/>
                <w:bCs/>
                <w:color w:val="000000"/>
                <w:szCs w:val="16"/>
                <w:lang w:eastAsia="es-CR"/>
              </w:rPr>
              <w:br/>
              <w:t>de Montevideo</w:t>
            </w:r>
          </w:p>
        </w:tc>
        <w:tc>
          <w:tcPr>
            <w:tcW w:w="3537" w:type="pct"/>
            <w:shd w:val="clear" w:color="auto" w:fill="auto"/>
            <w:hideMark/>
          </w:tcPr>
          <w:p w14:paraId="72ACE40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A:2</w:t>
            </w:r>
          </w:p>
        </w:tc>
      </w:tr>
      <w:tr w:rsidR="003855FD" w:rsidRPr="0073029B" w14:paraId="2B676DFE" w14:textId="77777777" w:rsidTr="004D2834">
        <w:trPr>
          <w:trHeight w:val="432"/>
        </w:trPr>
        <w:tc>
          <w:tcPr>
            <w:tcW w:w="1463" w:type="pct"/>
            <w:gridSpan w:val="2"/>
            <w:shd w:val="clear" w:color="auto" w:fill="auto"/>
            <w:hideMark/>
          </w:tcPr>
          <w:p w14:paraId="3AF164F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w:t>
            </w:r>
            <w:r w:rsidRPr="0073029B">
              <w:rPr>
                <w:rFonts w:eastAsia="Times New Roman" w:cs="Tahoma"/>
                <w:b/>
                <w:bCs/>
                <w:color w:val="000000"/>
                <w:szCs w:val="16"/>
                <w:lang w:eastAsia="es-CR"/>
              </w:rPr>
              <w:br/>
              <w:t>Desarrollo</w:t>
            </w:r>
          </w:p>
        </w:tc>
        <w:tc>
          <w:tcPr>
            <w:tcW w:w="3537" w:type="pct"/>
            <w:shd w:val="clear" w:color="auto" w:fill="auto"/>
            <w:hideMark/>
          </w:tcPr>
          <w:p w14:paraId="59BC647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w:t>
            </w:r>
          </w:p>
        </w:tc>
      </w:tr>
      <w:tr w:rsidR="003855FD" w:rsidRPr="0073029B" w14:paraId="0F7A91F4" w14:textId="77777777" w:rsidTr="004D2834">
        <w:trPr>
          <w:trHeight w:val="996"/>
        </w:trPr>
        <w:tc>
          <w:tcPr>
            <w:tcW w:w="1463" w:type="pct"/>
            <w:gridSpan w:val="2"/>
            <w:shd w:val="clear" w:color="auto" w:fill="auto"/>
            <w:hideMark/>
          </w:tcPr>
          <w:p w14:paraId="39F382A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37" w:type="pct"/>
            <w:shd w:val="clear" w:color="auto" w:fill="auto"/>
            <w:hideMark/>
          </w:tcPr>
          <w:p w14:paraId="4DE881FC"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El Programa Construyendo Oportunidades se orienta al mejoramiento del perfil ocupacional y optimización de aspectos educativos, formativos y socio-cultural de la población privada de libertad. Su implementación se hará mediante tres componentes: el componente jurídico, el técnico-administrativo y el componente de alianzas estratégicas. Mediante ello se pretende ampliar la capacidad del sistema penitenciario de ofrecer oportunidades laborales a las personas privadas de libertad.</w:t>
            </w:r>
          </w:p>
          <w:p w14:paraId="6BCF6C4C"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Nota: Las metas programadas del año 2023 y 2024 solo consideró las actividades ocupacionales remuneradas dentro del Sistema Penitenciario Nacional.</w:t>
            </w:r>
          </w:p>
        </w:tc>
      </w:tr>
      <w:tr w:rsidR="003855FD" w:rsidRPr="0073029B" w14:paraId="38203465" w14:textId="77777777" w:rsidTr="004D2834">
        <w:trPr>
          <w:trHeight w:val="648"/>
        </w:trPr>
        <w:tc>
          <w:tcPr>
            <w:tcW w:w="1463" w:type="pct"/>
            <w:gridSpan w:val="2"/>
            <w:shd w:val="clear" w:color="auto" w:fill="003A70"/>
            <w:hideMark/>
          </w:tcPr>
          <w:p w14:paraId="6C3DF84F"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537" w:type="pct"/>
            <w:shd w:val="clear" w:color="auto" w:fill="auto"/>
            <w:hideMark/>
          </w:tcPr>
          <w:p w14:paraId="206BD12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2024:</w:t>
            </w:r>
            <w:r w:rsidRPr="0073029B">
              <w:rPr>
                <w:rFonts w:eastAsia="Times New Roman" w:cs="Tahoma"/>
                <w:color w:val="000000"/>
                <w:szCs w:val="16"/>
                <w:lang w:eastAsia="es-CR"/>
              </w:rPr>
              <w:t xml:space="preserve"> Se modificó el nombre, la definición conceptual, la fórmula de cálculo, los componentes involucrados en la fórmula del cálculo, la unidad de medida, la interpretación, la fuente de información y el tipo de operación estadística. Oficio de aprobación MIDEPLAN-DVM-OF-0080-2024 (rige a partir de 2024).</w:t>
            </w:r>
          </w:p>
          <w:p w14:paraId="6343B915"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2025:</w:t>
            </w:r>
            <w:r w:rsidRPr="0073029B">
              <w:rPr>
                <w:rFonts w:eastAsia="Times New Roman" w:cs="Tahoma"/>
                <w:color w:val="000000"/>
                <w:szCs w:val="16"/>
                <w:lang w:eastAsia="es-CR"/>
              </w:rPr>
              <w:t xml:space="preserve"> Se modificó el nombre, la definición conceptual, la fórmula de cálculo, los componentes involucrados en la fórmula del cálculo, la interpretación, la meta, el tipo de operación estadística y los comentarios. Oficio de aprobación CARTA-MIDEPLAN-DVM-0192-2025 (rige a partir de 2025).</w:t>
            </w:r>
          </w:p>
        </w:tc>
      </w:tr>
    </w:tbl>
    <w:p w14:paraId="4686D165" w14:textId="77777777" w:rsidR="003855FD" w:rsidRPr="0073029B" w:rsidRDefault="003855FD" w:rsidP="003855FD">
      <w:pPr>
        <w:pStyle w:val="Default"/>
        <w:rPr>
          <w:rFonts w:ascii="Tahoma" w:eastAsia="Arial Narrow" w:hAnsi="Tahoma" w:cs="Tahoma"/>
          <w:sz w:val="16"/>
        </w:rPr>
      </w:pPr>
      <w:r w:rsidRPr="0073029B">
        <w:rPr>
          <w:rFonts w:ascii="Tahoma" w:eastAsia="Arial Narrow" w:hAnsi="Tahoma" w:cs="Tahoma"/>
          <w:sz w:val="16"/>
        </w:rPr>
        <w:t>Fuente: Dirección General de Adaptación Social, Ministerio de Justicia y Paz.</w:t>
      </w:r>
    </w:p>
    <w:bookmarkEnd w:id="52"/>
    <w:p w14:paraId="3D1BED34" w14:textId="77777777" w:rsidR="003855FD" w:rsidRPr="0073029B" w:rsidRDefault="003855FD" w:rsidP="003855FD">
      <w:pPr>
        <w:pStyle w:val="Default"/>
        <w:rPr>
          <w:rFonts w:ascii="Tahoma" w:eastAsia="Arial Narrow" w:hAnsi="Tahoma" w:cs="Tahoma"/>
          <w:sz w:val="16"/>
          <w:szCs w:val="16"/>
        </w:rPr>
      </w:pPr>
    </w:p>
    <w:p w14:paraId="7367B1BD" w14:textId="77777777" w:rsidR="003855FD" w:rsidRDefault="003855FD" w:rsidP="003855FD">
      <w:pPr>
        <w:pStyle w:val="Default"/>
        <w:rPr>
          <w:rFonts w:ascii="Tahoma" w:eastAsia="Arial Narrow" w:hAnsi="Tahoma" w:cs="Tahoma"/>
          <w:sz w:val="16"/>
          <w:szCs w:val="16"/>
        </w:rPr>
      </w:pPr>
    </w:p>
    <w:p w14:paraId="3ACEEA9F" w14:textId="77777777" w:rsidR="00305B44" w:rsidRDefault="00305B44" w:rsidP="003855FD">
      <w:pPr>
        <w:pStyle w:val="Default"/>
        <w:rPr>
          <w:rFonts w:ascii="Tahoma" w:eastAsia="Arial Narrow" w:hAnsi="Tahoma" w:cs="Tahoma"/>
          <w:sz w:val="16"/>
          <w:szCs w:val="16"/>
        </w:rPr>
      </w:pPr>
    </w:p>
    <w:p w14:paraId="6AE44094" w14:textId="77777777" w:rsidR="00305B44" w:rsidRDefault="00305B44" w:rsidP="003855FD">
      <w:pPr>
        <w:pStyle w:val="Default"/>
        <w:rPr>
          <w:rFonts w:ascii="Tahoma" w:eastAsia="Arial Narrow" w:hAnsi="Tahoma" w:cs="Tahoma"/>
          <w:sz w:val="16"/>
          <w:szCs w:val="16"/>
        </w:rPr>
      </w:pPr>
    </w:p>
    <w:p w14:paraId="259A5EA2" w14:textId="77777777" w:rsidR="00305B44" w:rsidRDefault="00305B44" w:rsidP="003855FD">
      <w:pPr>
        <w:pStyle w:val="Default"/>
        <w:rPr>
          <w:rFonts w:ascii="Tahoma" w:eastAsia="Arial Narrow" w:hAnsi="Tahoma" w:cs="Tahoma"/>
          <w:sz w:val="16"/>
          <w:szCs w:val="16"/>
        </w:rPr>
      </w:pPr>
    </w:p>
    <w:p w14:paraId="1543DE7B" w14:textId="77777777" w:rsidR="00305B44" w:rsidRDefault="00305B44" w:rsidP="003855FD">
      <w:pPr>
        <w:pStyle w:val="Default"/>
        <w:rPr>
          <w:rFonts w:ascii="Tahoma" w:eastAsia="Arial Narrow" w:hAnsi="Tahoma" w:cs="Tahoma"/>
          <w:sz w:val="16"/>
          <w:szCs w:val="16"/>
        </w:rPr>
      </w:pPr>
    </w:p>
    <w:p w14:paraId="31076D40" w14:textId="77777777" w:rsidR="00305B44" w:rsidRDefault="00305B44" w:rsidP="003855FD">
      <w:pPr>
        <w:pStyle w:val="Default"/>
        <w:rPr>
          <w:rFonts w:ascii="Tahoma" w:eastAsia="Arial Narrow" w:hAnsi="Tahoma" w:cs="Tahoma"/>
          <w:sz w:val="16"/>
          <w:szCs w:val="16"/>
        </w:rPr>
      </w:pPr>
    </w:p>
    <w:p w14:paraId="676D00E6" w14:textId="77777777" w:rsidR="00305B44" w:rsidRDefault="00305B44" w:rsidP="003855FD">
      <w:pPr>
        <w:pStyle w:val="Default"/>
        <w:rPr>
          <w:rFonts w:ascii="Tahoma" w:eastAsia="Arial Narrow" w:hAnsi="Tahoma" w:cs="Tahoma"/>
          <w:sz w:val="16"/>
          <w:szCs w:val="16"/>
        </w:rPr>
      </w:pPr>
    </w:p>
    <w:p w14:paraId="3D7B874A" w14:textId="77777777" w:rsidR="00305B44" w:rsidRDefault="00305B44" w:rsidP="003855FD">
      <w:pPr>
        <w:pStyle w:val="Default"/>
        <w:rPr>
          <w:rFonts w:ascii="Tahoma" w:eastAsia="Arial Narrow" w:hAnsi="Tahoma" w:cs="Tahoma"/>
          <w:sz w:val="16"/>
          <w:szCs w:val="16"/>
        </w:rPr>
      </w:pPr>
    </w:p>
    <w:p w14:paraId="18A9844A" w14:textId="77777777" w:rsidR="00305B44" w:rsidRDefault="00305B44" w:rsidP="003855FD">
      <w:pPr>
        <w:pStyle w:val="Default"/>
        <w:rPr>
          <w:rFonts w:ascii="Tahoma" w:eastAsia="Arial Narrow" w:hAnsi="Tahoma" w:cs="Tahoma"/>
          <w:sz w:val="16"/>
          <w:szCs w:val="16"/>
        </w:rPr>
      </w:pPr>
    </w:p>
    <w:p w14:paraId="0F37CE1F" w14:textId="77777777" w:rsidR="00305B44" w:rsidRDefault="00305B44" w:rsidP="003855FD">
      <w:pPr>
        <w:pStyle w:val="Default"/>
        <w:rPr>
          <w:rFonts w:ascii="Tahoma" w:eastAsia="Arial Narrow" w:hAnsi="Tahoma" w:cs="Tahoma"/>
          <w:sz w:val="16"/>
          <w:szCs w:val="16"/>
        </w:rPr>
      </w:pPr>
    </w:p>
    <w:p w14:paraId="5B2456C4" w14:textId="77777777" w:rsidR="00305B44" w:rsidRDefault="00305B44" w:rsidP="003855FD">
      <w:pPr>
        <w:pStyle w:val="Default"/>
        <w:rPr>
          <w:rFonts w:ascii="Tahoma" w:eastAsia="Arial Narrow" w:hAnsi="Tahoma" w:cs="Tahoma"/>
          <w:sz w:val="16"/>
          <w:szCs w:val="16"/>
        </w:rPr>
      </w:pPr>
    </w:p>
    <w:p w14:paraId="0E10009D" w14:textId="77777777" w:rsidR="00305B44" w:rsidRDefault="00305B44" w:rsidP="003855FD">
      <w:pPr>
        <w:pStyle w:val="Default"/>
        <w:rPr>
          <w:rFonts w:ascii="Tahoma" w:eastAsia="Arial Narrow" w:hAnsi="Tahoma" w:cs="Tahoma"/>
          <w:sz w:val="16"/>
          <w:szCs w:val="16"/>
        </w:rPr>
      </w:pPr>
    </w:p>
    <w:p w14:paraId="1FA963B0" w14:textId="77777777" w:rsidR="00305B44" w:rsidRDefault="00305B44" w:rsidP="003855FD">
      <w:pPr>
        <w:pStyle w:val="Default"/>
        <w:rPr>
          <w:rFonts w:ascii="Tahoma" w:eastAsia="Arial Narrow" w:hAnsi="Tahoma" w:cs="Tahoma"/>
          <w:sz w:val="16"/>
          <w:szCs w:val="16"/>
        </w:rPr>
      </w:pPr>
    </w:p>
    <w:p w14:paraId="605D7AB4" w14:textId="77777777" w:rsidR="00305B44" w:rsidRDefault="00305B44" w:rsidP="003855FD">
      <w:pPr>
        <w:pStyle w:val="Default"/>
        <w:rPr>
          <w:rFonts w:ascii="Tahoma" w:eastAsia="Arial Narrow" w:hAnsi="Tahoma" w:cs="Tahoma"/>
          <w:sz w:val="16"/>
          <w:szCs w:val="16"/>
        </w:rPr>
      </w:pPr>
    </w:p>
    <w:p w14:paraId="7976191A" w14:textId="77777777" w:rsidR="00305B44" w:rsidRDefault="00305B44" w:rsidP="003855FD">
      <w:pPr>
        <w:pStyle w:val="Default"/>
        <w:rPr>
          <w:rFonts w:ascii="Tahoma" w:eastAsia="Arial Narrow" w:hAnsi="Tahoma" w:cs="Tahoma"/>
          <w:sz w:val="16"/>
          <w:szCs w:val="16"/>
        </w:rPr>
      </w:pPr>
    </w:p>
    <w:p w14:paraId="76CD6934" w14:textId="77777777" w:rsidR="00305B44" w:rsidRDefault="00305B44" w:rsidP="003855FD">
      <w:pPr>
        <w:pStyle w:val="Default"/>
        <w:rPr>
          <w:rFonts w:ascii="Tahoma" w:eastAsia="Arial Narrow" w:hAnsi="Tahoma" w:cs="Tahoma"/>
          <w:sz w:val="16"/>
          <w:szCs w:val="16"/>
        </w:rPr>
      </w:pPr>
    </w:p>
    <w:p w14:paraId="5FA182E9" w14:textId="77777777" w:rsidR="00305B44" w:rsidRDefault="00305B44" w:rsidP="003855FD">
      <w:pPr>
        <w:pStyle w:val="Default"/>
        <w:rPr>
          <w:rFonts w:ascii="Tahoma" w:eastAsia="Arial Narrow" w:hAnsi="Tahoma" w:cs="Tahoma"/>
          <w:sz w:val="16"/>
          <w:szCs w:val="16"/>
        </w:rPr>
      </w:pPr>
    </w:p>
    <w:p w14:paraId="755E268A" w14:textId="77777777" w:rsidR="00305B44" w:rsidRDefault="00305B44" w:rsidP="003855FD">
      <w:pPr>
        <w:pStyle w:val="Default"/>
        <w:rPr>
          <w:rFonts w:ascii="Tahoma" w:eastAsia="Arial Narrow" w:hAnsi="Tahoma" w:cs="Tahoma"/>
          <w:sz w:val="16"/>
          <w:szCs w:val="16"/>
        </w:rPr>
      </w:pPr>
    </w:p>
    <w:p w14:paraId="7FE9209F" w14:textId="77777777" w:rsidR="00305B44" w:rsidRDefault="00305B44" w:rsidP="003855FD">
      <w:pPr>
        <w:pStyle w:val="Default"/>
        <w:rPr>
          <w:rFonts w:ascii="Tahoma" w:eastAsia="Arial Narrow" w:hAnsi="Tahoma" w:cs="Tahoma"/>
          <w:sz w:val="16"/>
          <w:szCs w:val="16"/>
        </w:rPr>
      </w:pPr>
    </w:p>
    <w:p w14:paraId="42C27C31" w14:textId="77777777" w:rsidR="00305B44" w:rsidRDefault="00305B44" w:rsidP="003855FD">
      <w:pPr>
        <w:pStyle w:val="Default"/>
        <w:rPr>
          <w:rFonts w:ascii="Tahoma" w:eastAsia="Arial Narrow" w:hAnsi="Tahoma" w:cs="Tahoma"/>
          <w:sz w:val="16"/>
          <w:szCs w:val="16"/>
        </w:rPr>
      </w:pPr>
    </w:p>
    <w:p w14:paraId="02C2DA72" w14:textId="77777777" w:rsidR="00305B44" w:rsidRDefault="00305B44" w:rsidP="003855FD">
      <w:pPr>
        <w:pStyle w:val="Default"/>
        <w:rPr>
          <w:rFonts w:ascii="Tahoma" w:eastAsia="Arial Narrow" w:hAnsi="Tahoma" w:cs="Tahoma"/>
          <w:sz w:val="16"/>
          <w:szCs w:val="16"/>
        </w:rPr>
      </w:pPr>
    </w:p>
    <w:p w14:paraId="0537F9DB" w14:textId="77777777" w:rsidR="00305B44" w:rsidRDefault="00305B44" w:rsidP="003855FD">
      <w:pPr>
        <w:pStyle w:val="Default"/>
        <w:rPr>
          <w:rFonts w:ascii="Tahoma" w:eastAsia="Arial Narrow" w:hAnsi="Tahoma" w:cs="Tahoma"/>
          <w:sz w:val="16"/>
          <w:szCs w:val="16"/>
        </w:rPr>
      </w:pPr>
    </w:p>
    <w:p w14:paraId="618CB719" w14:textId="77777777" w:rsidR="00305B44" w:rsidRPr="0073029B" w:rsidRDefault="00305B44" w:rsidP="003855FD">
      <w:pPr>
        <w:pStyle w:val="Default"/>
        <w:rPr>
          <w:rFonts w:ascii="Tahoma" w:eastAsia="Arial Narrow" w:hAnsi="Tahoma" w:cs="Tahoma"/>
          <w:sz w:val="16"/>
          <w:szCs w:val="16"/>
        </w:rPr>
      </w:pPr>
    </w:p>
    <w:p w14:paraId="6C1A954C" w14:textId="77777777" w:rsidR="003855FD" w:rsidRPr="0073029B" w:rsidRDefault="003855FD" w:rsidP="003855FD">
      <w:pPr>
        <w:pStyle w:val="Default"/>
        <w:spacing w:line="276" w:lineRule="auto"/>
        <w:jc w:val="both"/>
        <w:rPr>
          <w:rFonts w:ascii="Tahoma" w:eastAsia="Arial Narrow" w:hAnsi="Tahoma" w:cs="Tahoma"/>
          <w:sz w:val="18"/>
          <w:szCs w:val="16"/>
          <w:u w:val="single"/>
        </w:rPr>
      </w:pPr>
      <w:bookmarkStart w:id="57" w:name="_Hlk191375004"/>
      <w:bookmarkStart w:id="58" w:name="_Hlk191374314"/>
      <w:r w:rsidRPr="0073029B">
        <w:rPr>
          <w:rFonts w:ascii="Tahoma" w:eastAsia="Arial Narrow" w:hAnsi="Tahoma" w:cs="Tahoma"/>
          <w:b/>
          <w:sz w:val="18"/>
          <w:szCs w:val="16"/>
          <w:u w:val="single"/>
        </w:rPr>
        <w:lastRenderedPageBreak/>
        <w:t>Intervención Pública 2:</w:t>
      </w:r>
      <w:r w:rsidRPr="0073029B">
        <w:rPr>
          <w:rFonts w:ascii="Tahoma" w:eastAsia="Arial Narrow" w:hAnsi="Tahoma" w:cs="Tahoma"/>
          <w:sz w:val="18"/>
          <w:szCs w:val="16"/>
          <w:u w:val="single"/>
        </w:rPr>
        <w:t xml:space="preserve">  Programa de fortalecimiento de Seguridad Ciudadana y Prevención de Violencia.</w:t>
      </w:r>
    </w:p>
    <w:bookmarkEnd w:id="57"/>
    <w:p w14:paraId="52DE6557" w14:textId="77777777" w:rsidR="003855FD" w:rsidRPr="0073029B" w:rsidRDefault="003855FD" w:rsidP="003855FD">
      <w:pPr>
        <w:pStyle w:val="Default"/>
        <w:spacing w:line="276" w:lineRule="auto"/>
        <w:jc w:val="both"/>
        <w:rPr>
          <w:rFonts w:ascii="Tahoma" w:eastAsia="Arial Narrow" w:hAnsi="Tahoma" w:cs="Tahoma"/>
          <w:sz w:val="18"/>
          <w:szCs w:val="16"/>
        </w:rPr>
      </w:pPr>
    </w:p>
    <w:p w14:paraId="38E2A7A0" w14:textId="77777777" w:rsidR="003855FD" w:rsidRPr="0073029B" w:rsidRDefault="003855FD" w:rsidP="003855FD">
      <w:pPr>
        <w:pStyle w:val="Default"/>
        <w:spacing w:line="276" w:lineRule="auto"/>
        <w:jc w:val="both"/>
        <w:rPr>
          <w:rFonts w:ascii="Tahoma" w:eastAsia="Arial Narrow" w:hAnsi="Tahoma" w:cs="Tahoma"/>
          <w:sz w:val="18"/>
          <w:szCs w:val="16"/>
        </w:rPr>
      </w:pPr>
      <w:r w:rsidRPr="0073029B">
        <w:rPr>
          <w:rFonts w:ascii="Tahoma" w:eastAsia="Arial Narrow" w:hAnsi="Tahoma" w:cs="Tahoma"/>
          <w:b/>
          <w:sz w:val="18"/>
          <w:szCs w:val="16"/>
        </w:rPr>
        <w:t>Objetivo 2.1:</w:t>
      </w:r>
      <w:r w:rsidRPr="0073029B">
        <w:rPr>
          <w:rFonts w:ascii="Tahoma" w:eastAsia="Arial Narrow" w:hAnsi="Tahoma" w:cs="Tahoma"/>
          <w:sz w:val="18"/>
          <w:szCs w:val="16"/>
        </w:rPr>
        <w:t xml:space="preserve">  Implementar el Programa de fortalecimiento de la seguridad ciudadana y prevención de violencia con el fin de reducir los comportamientos delictivos de adolescentes y jóvenes vulnerables a la violencia, en distritos con desventajas concentradas.</w:t>
      </w:r>
    </w:p>
    <w:p w14:paraId="6A4589FA" w14:textId="77777777" w:rsidR="003855FD" w:rsidRPr="0073029B" w:rsidRDefault="003855FD"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1249"/>
        <w:gridCol w:w="6595"/>
      </w:tblGrid>
      <w:tr w:rsidR="003855FD" w:rsidRPr="0073029B" w14:paraId="5320BC3B" w14:textId="77777777" w:rsidTr="004D2834">
        <w:trPr>
          <w:trHeight w:val="228"/>
          <w:tblHeader/>
        </w:trPr>
        <w:tc>
          <w:tcPr>
            <w:tcW w:w="1463" w:type="pct"/>
            <w:gridSpan w:val="2"/>
            <w:shd w:val="clear" w:color="auto" w:fill="003A70"/>
            <w:hideMark/>
          </w:tcPr>
          <w:p w14:paraId="08CB2865"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537" w:type="pct"/>
            <w:shd w:val="clear" w:color="auto" w:fill="003A70"/>
            <w:hideMark/>
          </w:tcPr>
          <w:p w14:paraId="74D965BB"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A.2.1.1</w:t>
            </w:r>
          </w:p>
        </w:tc>
      </w:tr>
      <w:tr w:rsidR="003855FD" w:rsidRPr="0073029B" w14:paraId="6948DEF6" w14:textId="77777777" w:rsidTr="004D2834">
        <w:trPr>
          <w:trHeight w:val="288"/>
          <w:tblHeader/>
        </w:trPr>
        <w:tc>
          <w:tcPr>
            <w:tcW w:w="1463" w:type="pct"/>
            <w:gridSpan w:val="2"/>
            <w:shd w:val="clear" w:color="000000" w:fill="D9D9D9"/>
            <w:vAlign w:val="center"/>
            <w:hideMark/>
          </w:tcPr>
          <w:p w14:paraId="29E202AB"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37" w:type="pct"/>
            <w:shd w:val="clear" w:color="000000" w:fill="D9D9D9"/>
            <w:vAlign w:val="center"/>
            <w:hideMark/>
          </w:tcPr>
          <w:p w14:paraId="5E8D2ECA"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61E9A812" w14:textId="77777777" w:rsidTr="004D2834">
        <w:trPr>
          <w:trHeight w:val="480"/>
        </w:trPr>
        <w:tc>
          <w:tcPr>
            <w:tcW w:w="1463" w:type="pct"/>
            <w:gridSpan w:val="2"/>
            <w:shd w:val="clear" w:color="auto" w:fill="003A70"/>
            <w:hideMark/>
          </w:tcPr>
          <w:p w14:paraId="2B9E6C91" w14:textId="77777777" w:rsidR="003855FD" w:rsidRPr="0073029B" w:rsidRDefault="003855FD" w:rsidP="004D2834">
            <w:pPr>
              <w:spacing w:after="0" w:line="240" w:lineRule="auto"/>
              <w:jc w:val="both"/>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537" w:type="pct"/>
            <w:shd w:val="clear" w:color="auto" w:fill="003A70"/>
            <w:hideMark/>
          </w:tcPr>
          <w:p w14:paraId="77B7D169" w14:textId="77777777" w:rsidR="003855FD" w:rsidRPr="0073029B" w:rsidRDefault="003855FD" w:rsidP="004D2834">
            <w:pPr>
              <w:spacing w:after="0"/>
              <w:jc w:val="both"/>
              <w:rPr>
                <w:rFonts w:cs="Tahoma"/>
                <w:b/>
                <w:lang w:eastAsia="es-CR"/>
              </w:rPr>
            </w:pPr>
            <w:bookmarkStart w:id="59" w:name="_Toc202257789"/>
            <w:r w:rsidRPr="0073029B">
              <w:rPr>
                <w:rFonts w:cs="Tahoma"/>
                <w:b/>
                <w:lang w:eastAsia="es-CR"/>
              </w:rPr>
              <w:t>A.2.1.1 Porcentaje acumulado de avance en la implementación del Componente 1 “Efectividad Policial” del Programa de fortalecimiento de Seguridad Ciudadana y Prevención de Violencia.</w:t>
            </w:r>
            <w:bookmarkEnd w:id="59"/>
          </w:p>
        </w:tc>
      </w:tr>
      <w:tr w:rsidR="003855FD" w:rsidRPr="0073029B" w14:paraId="6D388841" w14:textId="77777777" w:rsidTr="004D2834">
        <w:trPr>
          <w:trHeight w:val="2328"/>
        </w:trPr>
        <w:tc>
          <w:tcPr>
            <w:tcW w:w="1463" w:type="pct"/>
            <w:gridSpan w:val="2"/>
            <w:shd w:val="clear" w:color="auto" w:fill="auto"/>
            <w:hideMark/>
          </w:tcPr>
          <w:p w14:paraId="5BE1AF5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37" w:type="pct"/>
            <w:shd w:val="clear" w:color="auto" w:fill="auto"/>
            <w:hideMark/>
          </w:tcPr>
          <w:p w14:paraId="7C10F059"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El Programa de Seguridad Ciudadana y Prevención de Violencia tiene como objetivo contribuir a la disminución de los homicidios y asaltos en Costa Rica. El objetivo específico relacionado con el Componente 1 es:(i) Mejorar la efectividad policial para prevenir el delito en los distritos priorizados.</w:t>
            </w:r>
          </w:p>
          <w:p w14:paraId="30E192A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Para alcanzar este objetivo el Programa cuenta con el siguiente componente y subcomponentes:</w:t>
            </w:r>
          </w:p>
          <w:p w14:paraId="58C4B290"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Componente 1: Efectividad Policial</w:t>
            </w:r>
          </w:p>
          <w:p w14:paraId="0D03359A"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Subcomponente 1.1 Fortalecimiento y tecnología capacidades para el análisis e implementación de Estrategias Policiales Basadas en Evidencia.</w:t>
            </w:r>
          </w:p>
          <w:p w14:paraId="4F2C0F04"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Subcomponente 1.2 Infraestructura policial.</w:t>
            </w:r>
          </w:p>
          <w:p w14:paraId="6848DD86" w14:textId="77777777" w:rsidR="003855FD" w:rsidRPr="0073029B" w:rsidRDefault="003855FD" w:rsidP="004D2834">
            <w:pPr>
              <w:spacing w:after="0" w:line="240" w:lineRule="auto"/>
              <w:jc w:val="both"/>
              <w:rPr>
                <w:rFonts w:eastAsia="Times New Roman" w:cs="Tahoma"/>
                <w:color w:val="000000"/>
                <w:szCs w:val="16"/>
                <w:lang w:eastAsia="es-CR"/>
              </w:rPr>
            </w:pPr>
          </w:p>
          <w:p w14:paraId="4E674C0C"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En el Banco de Proyectos de Inversión Pública (BPIP) se cuentan con dos proyectos relacionados con este componente:</w:t>
            </w:r>
          </w:p>
          <w:p w14:paraId="6BDD578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- 002674: Fortalecimiento de la Plataforma Tecnológica del Ministerio de Seguridad Pública.</w:t>
            </w:r>
          </w:p>
          <w:p w14:paraId="2574AB5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- 002675: Proyecto Fortalecimiento de la Infraestructura de Delegaciones Policiales del MSP.</w:t>
            </w:r>
          </w:p>
          <w:p w14:paraId="07DE10D6" w14:textId="77777777" w:rsidR="003855FD" w:rsidRPr="0073029B" w:rsidRDefault="003855FD" w:rsidP="004D2834">
            <w:pPr>
              <w:spacing w:after="0" w:line="240" w:lineRule="auto"/>
              <w:jc w:val="both"/>
              <w:rPr>
                <w:rFonts w:eastAsia="Times New Roman" w:cs="Tahoma"/>
                <w:color w:val="000000"/>
                <w:szCs w:val="16"/>
                <w:lang w:eastAsia="es-CR"/>
              </w:rPr>
            </w:pPr>
          </w:p>
        </w:tc>
      </w:tr>
      <w:tr w:rsidR="003855FD" w:rsidRPr="0073029B" w14:paraId="0F74927D" w14:textId="77777777" w:rsidTr="004D2834">
        <w:trPr>
          <w:trHeight w:val="670"/>
        </w:trPr>
        <w:tc>
          <w:tcPr>
            <w:tcW w:w="1463" w:type="pct"/>
            <w:gridSpan w:val="2"/>
            <w:shd w:val="clear" w:color="auto" w:fill="auto"/>
            <w:hideMark/>
          </w:tcPr>
          <w:p w14:paraId="2CD00D6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537" w:type="pct"/>
            <w:shd w:val="clear" w:color="auto" w:fill="auto"/>
            <w:hideMark/>
          </w:tcPr>
          <w:p w14:paraId="449E7ED5"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noProof/>
                <w:color w:val="000000"/>
                <w:szCs w:val="16"/>
                <w:lang w:eastAsia="es-CR"/>
              </w:rPr>
              <w:drawing>
                <wp:anchor distT="0" distB="0" distL="114300" distR="114300" simplePos="0" relativeHeight="251658242" behindDoc="0" locked="0" layoutInCell="1" allowOverlap="1" wp14:anchorId="60E894A2" wp14:editId="559AF027">
                  <wp:simplePos x="0" y="0"/>
                  <wp:positionH relativeFrom="column">
                    <wp:posOffset>175260</wp:posOffset>
                  </wp:positionH>
                  <wp:positionV relativeFrom="paragraph">
                    <wp:posOffset>60960</wp:posOffset>
                  </wp:positionV>
                  <wp:extent cx="792480" cy="342900"/>
                  <wp:effectExtent l="0" t="0" r="0" b="0"/>
                  <wp:wrapNone/>
                  <wp:docPr id="6" name="Imagen 6">
                    <a:extLst xmlns:a="http://schemas.openxmlformats.org/drawingml/2006/main">
                      <a:ext uri="{FF2B5EF4-FFF2-40B4-BE49-F238E27FC236}">
                        <a16:creationId xmlns:a16="http://schemas.microsoft.com/office/drawing/2014/main" id="{B31AFB35-A425-4B5B-8723-597DFDCD5ECA}"/>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B31AFB35-A425-4B5B-8723-597DFDCD5ECA}"/>
                              </a:ext>
                            </a:extLst>
                          </pic:cNvPr>
                          <pic:cNvPicPr>
                            <a:picLocks noChangeAspect="1"/>
                          </pic:cNvPicPr>
                        </pic:nvPicPr>
                        <pic:blipFill>
                          <a:blip r:embed="rId27"/>
                          <a:stretch>
                            <a:fillRect/>
                          </a:stretch>
                        </pic:blipFill>
                        <pic:spPr>
                          <a:xfrm>
                            <a:off x="0" y="0"/>
                            <a:ext cx="788094" cy="352750"/>
                          </a:xfrm>
                          <a:prstGeom prst="rect">
                            <a:avLst/>
                          </a:prstGeom>
                        </pic:spPr>
                      </pic:pic>
                    </a:graphicData>
                  </a:graphic>
                  <wp14:sizeRelH relativeFrom="page">
                    <wp14:pctWidth>0</wp14:pctWidth>
                  </wp14:sizeRelH>
                  <wp14:sizeRelV relativeFrom="page">
                    <wp14:pctHeight>0</wp14:pctHeight>
                  </wp14:sizeRelV>
                </wp:anchor>
              </w:drawing>
            </w:r>
          </w:p>
        </w:tc>
      </w:tr>
      <w:tr w:rsidR="003855FD" w:rsidRPr="0073029B" w14:paraId="251073A1" w14:textId="77777777" w:rsidTr="004D2834">
        <w:trPr>
          <w:trHeight w:val="3504"/>
        </w:trPr>
        <w:tc>
          <w:tcPr>
            <w:tcW w:w="1463" w:type="pct"/>
            <w:gridSpan w:val="2"/>
            <w:shd w:val="clear" w:color="auto" w:fill="auto"/>
            <w:hideMark/>
          </w:tcPr>
          <w:p w14:paraId="0624887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537" w:type="pct"/>
            <w:shd w:val="clear" w:color="auto" w:fill="auto"/>
            <w:hideMark/>
          </w:tcPr>
          <w:p w14:paraId="4294533D" w14:textId="77777777" w:rsidR="003855FD" w:rsidRPr="0073029B" w:rsidRDefault="003855FD" w:rsidP="004D2834">
            <w:pPr>
              <w:spacing w:after="0"/>
              <w:jc w:val="both"/>
              <w:rPr>
                <w:rFonts w:cs="Tahoma"/>
                <w:szCs w:val="16"/>
                <w:lang w:eastAsia="es-CR"/>
              </w:rPr>
            </w:pPr>
            <w:r w:rsidRPr="0073029B">
              <w:rPr>
                <w:rFonts w:cs="Tahoma"/>
                <w:szCs w:val="16"/>
                <w:lang w:eastAsia="es-CR"/>
              </w:rPr>
              <w:t>Peso: Peso de cada producto establecido en la Matriz de Resultados (MR) de línea base del Programa.</w:t>
            </w:r>
            <w:r w:rsidRPr="0073029B">
              <w:rPr>
                <w:rFonts w:cs="Tahoma"/>
                <w:szCs w:val="16"/>
                <w:lang w:eastAsia="es-CR"/>
              </w:rPr>
              <w:br/>
              <w:t>RA: Resultado anual de cada producto.</w:t>
            </w:r>
          </w:p>
          <w:p w14:paraId="4F4A175D" w14:textId="77777777" w:rsidR="003855FD" w:rsidRPr="0073029B" w:rsidRDefault="003855FD" w:rsidP="004D2834">
            <w:pPr>
              <w:jc w:val="both"/>
              <w:rPr>
                <w:rFonts w:cs="Tahoma"/>
                <w:szCs w:val="16"/>
                <w:lang w:eastAsia="es-CR"/>
              </w:rPr>
            </w:pPr>
            <w:r w:rsidRPr="0073029B">
              <w:rPr>
                <w:rFonts w:cs="Tahoma"/>
                <w:szCs w:val="16"/>
                <w:lang w:eastAsia="es-CR"/>
              </w:rPr>
              <w:t>Meta: Meta de cada producto al final del Programa.</w:t>
            </w:r>
          </w:p>
          <w:p w14:paraId="686F1A35" w14:textId="77777777" w:rsidR="003855FD" w:rsidRPr="0073029B" w:rsidRDefault="003855FD" w:rsidP="004D2834">
            <w:pPr>
              <w:jc w:val="both"/>
              <w:rPr>
                <w:rFonts w:cs="Tahoma"/>
                <w:szCs w:val="16"/>
                <w:lang w:eastAsia="es-CR"/>
              </w:rPr>
            </w:pPr>
            <w:r w:rsidRPr="0073029B">
              <w:rPr>
                <w:rFonts w:cs="Tahoma"/>
                <w:szCs w:val="16"/>
                <w:lang w:eastAsia="es-CR"/>
              </w:rPr>
              <w:t>A continuación, se relacionan los productos establecidos en la MR con los proyectos inscritos en el BPIP:</w:t>
            </w:r>
          </w:p>
          <w:p w14:paraId="094D51C7" w14:textId="77777777" w:rsidR="003855FD" w:rsidRPr="0073029B" w:rsidRDefault="003855FD" w:rsidP="004D2834">
            <w:pPr>
              <w:jc w:val="both"/>
              <w:rPr>
                <w:rFonts w:cs="Tahoma"/>
                <w:szCs w:val="16"/>
                <w:lang w:eastAsia="es-CR"/>
              </w:rPr>
            </w:pPr>
            <w:r w:rsidRPr="0073029B">
              <w:rPr>
                <w:rFonts w:cs="Tahoma"/>
                <w:szCs w:val="16"/>
                <w:lang w:eastAsia="es-CR"/>
              </w:rPr>
              <w:t>- Proyecto 002674 (Peso = 9,78%).</w:t>
            </w:r>
          </w:p>
          <w:p w14:paraId="7646EFB2" w14:textId="77777777" w:rsidR="003855FD" w:rsidRPr="0073029B" w:rsidRDefault="003855FD" w:rsidP="00F32094">
            <w:pPr>
              <w:pStyle w:val="Prrafodelista"/>
              <w:numPr>
                <w:ilvl w:val="0"/>
                <w:numId w:val="6"/>
              </w:numPr>
              <w:spacing w:after="0" w:line="240" w:lineRule="auto"/>
              <w:ind w:left="222" w:hanging="141"/>
              <w:rPr>
                <w:rFonts w:cs="Tahoma"/>
                <w:szCs w:val="16"/>
                <w:lang w:eastAsia="es-CR"/>
              </w:rPr>
            </w:pPr>
            <w:r w:rsidRPr="0073029B">
              <w:rPr>
                <w:rFonts w:cs="Tahoma"/>
                <w:szCs w:val="16"/>
                <w:lang w:eastAsia="es-CR"/>
              </w:rPr>
              <w:t>P1.3: Departamentos de la Fuerza Pública capacitados en análisis criminal y monitoreo de dinámicas delictivas (Meta = 16; Peso = 0,45%).</w:t>
            </w:r>
          </w:p>
          <w:p w14:paraId="1A66668B" w14:textId="77777777" w:rsidR="003855FD" w:rsidRPr="0073029B" w:rsidRDefault="003855FD" w:rsidP="00F32094">
            <w:pPr>
              <w:pStyle w:val="Prrafodelista"/>
              <w:numPr>
                <w:ilvl w:val="0"/>
                <w:numId w:val="6"/>
              </w:numPr>
              <w:spacing w:after="0" w:line="240" w:lineRule="auto"/>
              <w:ind w:left="222" w:hanging="141"/>
              <w:rPr>
                <w:rFonts w:cs="Tahoma"/>
                <w:szCs w:val="16"/>
                <w:lang w:eastAsia="es-CR"/>
              </w:rPr>
            </w:pPr>
            <w:r w:rsidRPr="0073029B">
              <w:rPr>
                <w:rFonts w:cs="Tahoma"/>
                <w:szCs w:val="16"/>
                <w:lang w:eastAsia="es-CR"/>
              </w:rPr>
              <w:t>P1.4: Estrategias policiales basadas en evidencia diseñadas e implementadas (Meta= 1; Peso = 2,58%).</w:t>
            </w:r>
          </w:p>
          <w:p w14:paraId="6578A51B" w14:textId="77777777" w:rsidR="003855FD" w:rsidRPr="0073029B" w:rsidRDefault="003855FD" w:rsidP="00F32094">
            <w:pPr>
              <w:pStyle w:val="Prrafodelista"/>
              <w:numPr>
                <w:ilvl w:val="0"/>
                <w:numId w:val="6"/>
              </w:numPr>
              <w:spacing w:after="0" w:line="240" w:lineRule="auto"/>
              <w:ind w:left="222" w:hanging="141"/>
              <w:rPr>
                <w:rFonts w:cs="Tahoma"/>
                <w:szCs w:val="16"/>
                <w:lang w:eastAsia="es-CR"/>
              </w:rPr>
            </w:pPr>
            <w:r w:rsidRPr="0073029B">
              <w:rPr>
                <w:rFonts w:cs="Tahoma"/>
                <w:szCs w:val="16"/>
                <w:lang w:eastAsia="es-CR"/>
              </w:rPr>
              <w:t>P1.5: Evaluación de impacto de estrategias policiales basadas en evidencia diseñada e implementada (Meta= 1; Peso = 0,23%).</w:t>
            </w:r>
          </w:p>
          <w:p w14:paraId="6062E901" w14:textId="77777777" w:rsidR="003855FD" w:rsidRPr="0073029B" w:rsidRDefault="003855FD" w:rsidP="00F32094">
            <w:pPr>
              <w:pStyle w:val="Prrafodelista"/>
              <w:numPr>
                <w:ilvl w:val="0"/>
                <w:numId w:val="6"/>
              </w:numPr>
              <w:spacing w:after="0" w:line="240" w:lineRule="auto"/>
              <w:ind w:left="222" w:hanging="141"/>
              <w:rPr>
                <w:rFonts w:cs="Tahoma"/>
                <w:szCs w:val="16"/>
                <w:lang w:eastAsia="es-CR"/>
              </w:rPr>
            </w:pPr>
            <w:r w:rsidRPr="0073029B">
              <w:rPr>
                <w:rFonts w:cs="Tahoma"/>
                <w:szCs w:val="16"/>
                <w:lang w:eastAsia="es-CR"/>
              </w:rPr>
              <w:t>P1.6: Sistema de procesamiento de quejas ciudadanas y procesos disciplinarios, fortalecido (Meta = 1; Peso= 0,38%).</w:t>
            </w:r>
          </w:p>
          <w:p w14:paraId="4D91B04B" w14:textId="77777777" w:rsidR="003855FD" w:rsidRPr="0073029B" w:rsidRDefault="003855FD" w:rsidP="00F32094">
            <w:pPr>
              <w:pStyle w:val="Prrafodelista"/>
              <w:numPr>
                <w:ilvl w:val="0"/>
                <w:numId w:val="6"/>
              </w:numPr>
              <w:spacing w:after="0" w:line="240" w:lineRule="auto"/>
              <w:ind w:left="222" w:hanging="141"/>
              <w:rPr>
                <w:rFonts w:cs="Tahoma"/>
                <w:szCs w:val="16"/>
                <w:lang w:eastAsia="es-CR"/>
              </w:rPr>
            </w:pPr>
            <w:r w:rsidRPr="0073029B">
              <w:rPr>
                <w:rFonts w:cs="Tahoma"/>
                <w:szCs w:val="16"/>
                <w:lang w:eastAsia="es-CR"/>
              </w:rPr>
              <w:t>P1.8: Centro de Mando y Control Policial diseñado, construido, equipado y en funcionamiento (Meta = 1; Peso = 6,14)</w:t>
            </w:r>
          </w:p>
          <w:p w14:paraId="6924FA6C" w14:textId="77777777" w:rsidR="003855FD" w:rsidRPr="0073029B" w:rsidRDefault="003855FD" w:rsidP="004D2834">
            <w:pPr>
              <w:jc w:val="both"/>
              <w:rPr>
                <w:rFonts w:cs="Tahoma"/>
                <w:szCs w:val="16"/>
                <w:lang w:eastAsia="es-CR"/>
              </w:rPr>
            </w:pPr>
            <w:r w:rsidRPr="0073029B">
              <w:rPr>
                <w:rFonts w:cs="Tahoma"/>
                <w:szCs w:val="16"/>
                <w:lang w:eastAsia="es-CR"/>
              </w:rPr>
              <w:br/>
              <w:t>- Proyecto 002675 (Peso = 90,22%).</w:t>
            </w:r>
          </w:p>
          <w:p w14:paraId="4AA7DE85" w14:textId="77777777" w:rsidR="003855FD" w:rsidRPr="0073029B" w:rsidRDefault="003855FD" w:rsidP="004D2834">
            <w:pPr>
              <w:spacing w:after="0" w:line="240" w:lineRule="auto"/>
              <w:rPr>
                <w:rFonts w:eastAsia="Times New Roman" w:cs="Tahoma"/>
                <w:szCs w:val="16"/>
                <w:lang w:eastAsia="es-CR"/>
              </w:rPr>
            </w:pPr>
            <w:r w:rsidRPr="0073029B">
              <w:rPr>
                <w:rFonts w:cs="Tahoma"/>
                <w:szCs w:val="16"/>
                <w:lang w:eastAsia="es-CR"/>
              </w:rPr>
              <w:t>P1.7: Delegaciones diseñadas, construida, equipadas y operando bajo el enfoque de policía comunitaria (Meta = 19; Peso = 90,22%).</w:t>
            </w:r>
          </w:p>
        </w:tc>
      </w:tr>
      <w:tr w:rsidR="003855FD" w:rsidRPr="0073029B" w14:paraId="01498131" w14:textId="77777777" w:rsidTr="004D2834">
        <w:trPr>
          <w:trHeight w:val="276"/>
        </w:trPr>
        <w:tc>
          <w:tcPr>
            <w:tcW w:w="1463" w:type="pct"/>
            <w:gridSpan w:val="2"/>
            <w:shd w:val="clear" w:color="auto" w:fill="auto"/>
            <w:hideMark/>
          </w:tcPr>
          <w:p w14:paraId="03309CC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37" w:type="pct"/>
            <w:shd w:val="clear" w:color="auto" w:fill="auto"/>
            <w:hideMark/>
          </w:tcPr>
          <w:p w14:paraId="7AFAC44C" w14:textId="77777777" w:rsidR="003855FD" w:rsidRPr="0073029B" w:rsidRDefault="003855FD" w:rsidP="004D2834">
            <w:pPr>
              <w:spacing w:after="0" w:line="240" w:lineRule="auto"/>
              <w:rPr>
                <w:rFonts w:eastAsia="Times New Roman" w:cs="Tahoma"/>
                <w:szCs w:val="16"/>
                <w:lang w:eastAsia="es-CR"/>
              </w:rPr>
            </w:pPr>
            <w:r w:rsidRPr="0073029B">
              <w:rPr>
                <w:rFonts w:eastAsia="Times New Roman" w:cs="Tahoma"/>
                <w:szCs w:val="16"/>
                <w:lang w:eastAsia="es-CR"/>
              </w:rPr>
              <w:t>Porcentaje</w:t>
            </w:r>
          </w:p>
        </w:tc>
      </w:tr>
      <w:tr w:rsidR="003855FD" w:rsidRPr="0073029B" w14:paraId="16121D67" w14:textId="77777777" w:rsidTr="004D2834">
        <w:trPr>
          <w:trHeight w:val="450"/>
        </w:trPr>
        <w:tc>
          <w:tcPr>
            <w:tcW w:w="1463" w:type="pct"/>
            <w:gridSpan w:val="2"/>
            <w:vMerge w:val="restart"/>
            <w:shd w:val="clear" w:color="auto" w:fill="auto"/>
            <w:hideMark/>
          </w:tcPr>
          <w:p w14:paraId="7BEDD64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37" w:type="pct"/>
            <w:vMerge w:val="restart"/>
            <w:shd w:val="clear" w:color="auto" w:fill="auto"/>
            <w:hideMark/>
          </w:tcPr>
          <w:p w14:paraId="6E42DC80" w14:textId="77777777" w:rsidR="003855FD" w:rsidRPr="0073029B" w:rsidRDefault="003855FD" w:rsidP="004D2834">
            <w:pPr>
              <w:spacing w:after="0" w:line="240" w:lineRule="auto"/>
              <w:jc w:val="both"/>
              <w:rPr>
                <w:rFonts w:eastAsia="Times New Roman" w:cs="Tahoma"/>
                <w:szCs w:val="16"/>
                <w:lang w:eastAsia="es-CR"/>
              </w:rPr>
            </w:pPr>
            <w:r w:rsidRPr="0073029B">
              <w:rPr>
                <w:rFonts w:eastAsia="Times New Roman" w:cs="Tahoma"/>
                <w:szCs w:val="16"/>
                <w:lang w:eastAsia="es-CR"/>
              </w:rPr>
              <w:t xml:space="preserve">Se refiere al avance físico, representado en un porcentaje acumulativo, de los productos establecidos en la MR del Programa y relacionados con los proyectos inscritos en el BPIP </w:t>
            </w:r>
            <w:r w:rsidRPr="0073029B">
              <w:rPr>
                <w:rFonts w:eastAsia="Times New Roman" w:cs="Tahoma"/>
                <w:szCs w:val="16"/>
                <w:lang w:eastAsia="es-CR"/>
              </w:rPr>
              <w:lastRenderedPageBreak/>
              <w:t>enfocado en mejorar la efectividad policial, brindándole mejores herramientas y dignificando la profesión de los oficiales de la Fuerza Pública.</w:t>
            </w:r>
          </w:p>
        </w:tc>
      </w:tr>
      <w:tr w:rsidR="003855FD" w:rsidRPr="0073029B" w14:paraId="40C2124E" w14:textId="77777777" w:rsidTr="004D2834">
        <w:trPr>
          <w:trHeight w:val="450"/>
        </w:trPr>
        <w:tc>
          <w:tcPr>
            <w:tcW w:w="1463" w:type="pct"/>
            <w:gridSpan w:val="2"/>
            <w:vMerge/>
            <w:vAlign w:val="center"/>
            <w:hideMark/>
          </w:tcPr>
          <w:p w14:paraId="4FFEB87B" w14:textId="77777777" w:rsidR="003855FD" w:rsidRPr="0073029B" w:rsidRDefault="003855FD" w:rsidP="004D2834">
            <w:pPr>
              <w:spacing w:after="0" w:line="240" w:lineRule="auto"/>
              <w:rPr>
                <w:rFonts w:eastAsia="Times New Roman" w:cs="Tahoma"/>
                <w:b/>
                <w:bCs/>
                <w:color w:val="000000"/>
                <w:szCs w:val="16"/>
                <w:lang w:eastAsia="es-CR"/>
              </w:rPr>
            </w:pPr>
          </w:p>
        </w:tc>
        <w:tc>
          <w:tcPr>
            <w:tcW w:w="3537" w:type="pct"/>
            <w:vMerge/>
            <w:vAlign w:val="center"/>
            <w:hideMark/>
          </w:tcPr>
          <w:p w14:paraId="79F82C22" w14:textId="77777777" w:rsidR="003855FD" w:rsidRPr="0073029B" w:rsidRDefault="003855FD" w:rsidP="004D2834">
            <w:pPr>
              <w:spacing w:after="0" w:line="240" w:lineRule="auto"/>
              <w:rPr>
                <w:rFonts w:eastAsia="Times New Roman" w:cs="Tahoma"/>
                <w:szCs w:val="16"/>
                <w:lang w:eastAsia="es-CR"/>
              </w:rPr>
            </w:pPr>
          </w:p>
        </w:tc>
      </w:tr>
      <w:tr w:rsidR="003855FD" w:rsidRPr="0073029B" w14:paraId="5B97EDC0" w14:textId="77777777" w:rsidTr="004D2834">
        <w:trPr>
          <w:trHeight w:val="1130"/>
        </w:trPr>
        <w:tc>
          <w:tcPr>
            <w:tcW w:w="793" w:type="pct"/>
            <w:vMerge w:val="restart"/>
            <w:shd w:val="clear" w:color="auto" w:fill="auto"/>
            <w:hideMark/>
          </w:tcPr>
          <w:p w14:paraId="7045213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70" w:type="pct"/>
            <w:shd w:val="clear" w:color="auto" w:fill="auto"/>
            <w:hideMark/>
          </w:tcPr>
          <w:p w14:paraId="2717FD8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37" w:type="pct"/>
            <w:shd w:val="clear" w:color="auto" w:fill="auto"/>
            <w:hideMark/>
          </w:tcPr>
          <w:p w14:paraId="5E65962E" w14:textId="77777777" w:rsidR="003855FD" w:rsidRPr="0073029B" w:rsidRDefault="003855FD" w:rsidP="004D2834">
            <w:pPr>
              <w:pStyle w:val="Default"/>
              <w:jc w:val="both"/>
              <w:rPr>
                <w:rFonts w:ascii="Tahoma" w:hAnsi="Tahoma" w:cs="Tahoma"/>
                <w:color w:val="auto"/>
                <w:sz w:val="16"/>
                <w:szCs w:val="16"/>
              </w:rPr>
            </w:pPr>
            <w:r w:rsidRPr="0073029B">
              <w:rPr>
                <w:rFonts w:ascii="Tahoma" w:hAnsi="Tahoma" w:cs="Tahoma"/>
                <w:color w:val="auto"/>
                <w:sz w:val="16"/>
                <w:szCs w:val="16"/>
              </w:rPr>
              <w:t xml:space="preserve">Nacional (P1.3, P1.4, P1.5, P1.6, P1.8) </w:t>
            </w:r>
          </w:p>
          <w:p w14:paraId="7A3F4BC2" w14:textId="77777777" w:rsidR="003855FD" w:rsidRPr="0073029B" w:rsidRDefault="003855FD" w:rsidP="004D2834">
            <w:pPr>
              <w:pStyle w:val="Default"/>
              <w:jc w:val="both"/>
              <w:rPr>
                <w:rFonts w:ascii="Tahoma" w:hAnsi="Tahoma" w:cs="Tahoma"/>
                <w:color w:val="auto"/>
                <w:sz w:val="16"/>
                <w:szCs w:val="16"/>
              </w:rPr>
            </w:pPr>
            <w:r w:rsidRPr="0073029B">
              <w:rPr>
                <w:rFonts w:ascii="Tahoma" w:hAnsi="Tahoma" w:cs="Tahoma"/>
                <w:color w:val="auto"/>
                <w:sz w:val="16"/>
                <w:szCs w:val="16"/>
              </w:rPr>
              <w:t xml:space="preserve">Región Central (P1.7 [7 DP]) </w:t>
            </w:r>
          </w:p>
          <w:p w14:paraId="694A44A4" w14:textId="77777777" w:rsidR="003855FD" w:rsidRPr="0073029B" w:rsidRDefault="003855FD" w:rsidP="004D2834">
            <w:pPr>
              <w:pStyle w:val="Default"/>
              <w:jc w:val="both"/>
              <w:rPr>
                <w:rFonts w:ascii="Tahoma" w:hAnsi="Tahoma" w:cs="Tahoma"/>
                <w:color w:val="auto"/>
                <w:sz w:val="16"/>
                <w:szCs w:val="16"/>
              </w:rPr>
            </w:pPr>
            <w:r w:rsidRPr="0073029B">
              <w:rPr>
                <w:rFonts w:ascii="Tahoma" w:hAnsi="Tahoma" w:cs="Tahoma"/>
                <w:color w:val="auto"/>
                <w:sz w:val="16"/>
                <w:szCs w:val="16"/>
              </w:rPr>
              <w:t xml:space="preserve">Región Pacífico Central (P1.7 [3 DP]) </w:t>
            </w:r>
          </w:p>
          <w:p w14:paraId="61382875" w14:textId="77777777" w:rsidR="003855FD" w:rsidRPr="0073029B" w:rsidRDefault="003855FD" w:rsidP="004D2834">
            <w:pPr>
              <w:pStyle w:val="Default"/>
              <w:jc w:val="both"/>
              <w:rPr>
                <w:rFonts w:ascii="Tahoma" w:hAnsi="Tahoma" w:cs="Tahoma"/>
                <w:color w:val="auto"/>
                <w:sz w:val="16"/>
                <w:szCs w:val="16"/>
              </w:rPr>
            </w:pPr>
            <w:r w:rsidRPr="0073029B">
              <w:rPr>
                <w:rFonts w:ascii="Tahoma" w:hAnsi="Tahoma" w:cs="Tahoma"/>
                <w:color w:val="auto"/>
                <w:sz w:val="16"/>
                <w:szCs w:val="16"/>
              </w:rPr>
              <w:t xml:space="preserve">Región Chorotega (P1.7 [2 DP]) </w:t>
            </w:r>
          </w:p>
          <w:p w14:paraId="42750B63" w14:textId="77777777" w:rsidR="003855FD" w:rsidRPr="0073029B" w:rsidRDefault="003855FD" w:rsidP="004D2834">
            <w:pPr>
              <w:pStyle w:val="Default"/>
              <w:jc w:val="both"/>
              <w:rPr>
                <w:rFonts w:ascii="Tahoma" w:hAnsi="Tahoma" w:cs="Tahoma"/>
                <w:color w:val="auto"/>
                <w:sz w:val="16"/>
                <w:szCs w:val="16"/>
              </w:rPr>
            </w:pPr>
            <w:r w:rsidRPr="0073029B">
              <w:rPr>
                <w:rFonts w:ascii="Tahoma" w:hAnsi="Tahoma" w:cs="Tahoma"/>
                <w:color w:val="auto"/>
                <w:sz w:val="16"/>
                <w:szCs w:val="16"/>
              </w:rPr>
              <w:t xml:space="preserve">Región Huetar Caribe (P1.7 [7 DP]) </w:t>
            </w:r>
          </w:p>
          <w:p w14:paraId="1F42AA9C" w14:textId="77777777" w:rsidR="003855FD" w:rsidRPr="0073029B" w:rsidRDefault="003855FD" w:rsidP="004D2834">
            <w:pPr>
              <w:spacing w:after="0"/>
              <w:jc w:val="both"/>
              <w:rPr>
                <w:rFonts w:cs="Tahoma"/>
                <w:szCs w:val="16"/>
              </w:rPr>
            </w:pPr>
            <w:r w:rsidRPr="0073029B">
              <w:rPr>
                <w:rFonts w:cs="Tahoma"/>
                <w:szCs w:val="16"/>
              </w:rPr>
              <w:t xml:space="preserve">DP: Delegación Policial </w:t>
            </w:r>
          </w:p>
        </w:tc>
      </w:tr>
      <w:tr w:rsidR="003855FD" w:rsidRPr="0073029B" w14:paraId="0E1C6EF5" w14:textId="77777777" w:rsidTr="004D2834">
        <w:trPr>
          <w:trHeight w:val="288"/>
        </w:trPr>
        <w:tc>
          <w:tcPr>
            <w:tcW w:w="793" w:type="pct"/>
            <w:vMerge/>
            <w:vAlign w:val="center"/>
            <w:hideMark/>
          </w:tcPr>
          <w:p w14:paraId="6E88B8BD" w14:textId="77777777" w:rsidR="003855FD" w:rsidRPr="0073029B" w:rsidRDefault="003855FD" w:rsidP="004D2834">
            <w:pPr>
              <w:spacing w:after="0" w:line="240" w:lineRule="auto"/>
              <w:rPr>
                <w:rFonts w:eastAsia="Times New Roman" w:cs="Tahoma"/>
                <w:b/>
                <w:bCs/>
                <w:color w:val="000000"/>
                <w:szCs w:val="16"/>
                <w:lang w:eastAsia="es-CR"/>
              </w:rPr>
            </w:pPr>
          </w:p>
        </w:tc>
        <w:tc>
          <w:tcPr>
            <w:tcW w:w="670" w:type="pct"/>
            <w:shd w:val="clear" w:color="auto" w:fill="auto"/>
            <w:hideMark/>
          </w:tcPr>
          <w:p w14:paraId="0E240A4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37" w:type="pct"/>
            <w:shd w:val="clear" w:color="auto" w:fill="auto"/>
            <w:hideMark/>
          </w:tcPr>
          <w:p w14:paraId="17AACA37"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Seguridad Ciudadana</w:t>
            </w:r>
          </w:p>
        </w:tc>
      </w:tr>
      <w:tr w:rsidR="003855FD" w:rsidRPr="0073029B" w14:paraId="3DC43F4D" w14:textId="77777777" w:rsidTr="004D2834">
        <w:trPr>
          <w:trHeight w:val="229"/>
        </w:trPr>
        <w:tc>
          <w:tcPr>
            <w:tcW w:w="1463" w:type="pct"/>
            <w:gridSpan w:val="2"/>
            <w:shd w:val="clear" w:color="auto" w:fill="auto"/>
            <w:hideMark/>
          </w:tcPr>
          <w:p w14:paraId="73D971B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537" w:type="pct"/>
            <w:shd w:val="clear" w:color="auto" w:fill="auto"/>
            <w:hideMark/>
          </w:tcPr>
          <w:p w14:paraId="77EC429B"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2021: 0</w:t>
            </w:r>
          </w:p>
        </w:tc>
      </w:tr>
      <w:tr w:rsidR="003855FD" w:rsidRPr="0073029B" w14:paraId="3160EDE1" w14:textId="77777777" w:rsidTr="00914A1E">
        <w:trPr>
          <w:trHeight w:val="330"/>
        </w:trPr>
        <w:tc>
          <w:tcPr>
            <w:tcW w:w="1463" w:type="pct"/>
            <w:gridSpan w:val="2"/>
            <w:shd w:val="clear" w:color="auto" w:fill="auto"/>
            <w:hideMark/>
          </w:tcPr>
          <w:p w14:paraId="2CBD44B7" w14:textId="77777777" w:rsidR="003855FD" w:rsidRPr="0073029B" w:rsidRDefault="003855FD" w:rsidP="004D2834">
            <w:pPr>
              <w:spacing w:after="0" w:line="240" w:lineRule="auto"/>
              <w:rPr>
                <w:rFonts w:eastAsia="Times New Roman" w:cs="Tahoma"/>
                <w:b/>
                <w:bCs/>
                <w:szCs w:val="16"/>
                <w:lang w:eastAsia="es-CR"/>
              </w:rPr>
            </w:pPr>
            <w:r w:rsidRPr="0073029B">
              <w:rPr>
                <w:rFonts w:eastAsia="Times New Roman" w:cs="Tahoma"/>
                <w:b/>
                <w:bCs/>
                <w:szCs w:val="16"/>
                <w:lang w:eastAsia="es-CR"/>
              </w:rPr>
              <w:t>Meta</w:t>
            </w:r>
          </w:p>
        </w:tc>
        <w:tc>
          <w:tcPr>
            <w:tcW w:w="3537" w:type="pct"/>
            <w:shd w:val="clear" w:color="auto" w:fill="auto"/>
            <w:hideMark/>
          </w:tcPr>
          <w:p w14:paraId="7401EEDA" w14:textId="77777777" w:rsidR="003855FD" w:rsidRPr="0073029B" w:rsidRDefault="003855FD" w:rsidP="004D2834">
            <w:pPr>
              <w:rPr>
                <w:rFonts w:eastAsia="Times New Roman" w:cs="Tahoma"/>
                <w:szCs w:val="16"/>
                <w:lang w:eastAsia="es-CR"/>
              </w:rPr>
            </w:pPr>
            <w:r w:rsidRPr="0073029B">
              <w:rPr>
                <w:rFonts w:eastAsia="Times New Roman" w:cs="Tahoma"/>
                <w:szCs w:val="16"/>
                <w:lang w:eastAsia="es-CR"/>
              </w:rPr>
              <w:t>2023-2026: 100%</w:t>
            </w:r>
            <w:r w:rsidRPr="0073029B">
              <w:rPr>
                <w:rFonts w:eastAsia="Times New Roman" w:cs="Tahoma"/>
                <w:szCs w:val="16"/>
                <w:lang w:eastAsia="es-CR"/>
              </w:rPr>
              <w:br/>
            </w:r>
            <w:r w:rsidRPr="0073029B">
              <w:rPr>
                <w:rFonts w:eastAsia="Times New Roman" w:cs="Tahoma"/>
                <w:szCs w:val="16"/>
                <w:lang w:eastAsia="es-CR"/>
              </w:rPr>
              <w:br/>
            </w:r>
            <w:r w:rsidRPr="0073029B">
              <w:rPr>
                <w:rFonts w:eastAsia="Times New Roman" w:cs="Tahoma"/>
                <w:b/>
                <w:bCs/>
                <w:szCs w:val="16"/>
                <w:lang w:eastAsia="es-CR"/>
              </w:rPr>
              <w:t xml:space="preserve">2023: </w:t>
            </w:r>
            <w:r w:rsidRPr="0073029B">
              <w:rPr>
                <w:rFonts w:eastAsia="Times New Roman" w:cs="Tahoma"/>
                <w:szCs w:val="16"/>
                <w:lang w:eastAsia="es-CR"/>
              </w:rPr>
              <w:t>10,31%</w:t>
            </w:r>
            <w:r w:rsidRPr="0073029B">
              <w:rPr>
                <w:rFonts w:eastAsia="Times New Roman" w:cs="Tahoma"/>
                <w:szCs w:val="16"/>
                <w:lang w:eastAsia="es-CR"/>
              </w:rPr>
              <w:br/>
              <w:t xml:space="preserve"> - 002674: 0%</w:t>
            </w:r>
            <w:r w:rsidRPr="0073029B">
              <w:rPr>
                <w:rFonts w:eastAsia="Times New Roman" w:cs="Tahoma"/>
                <w:szCs w:val="16"/>
                <w:lang w:eastAsia="es-CR"/>
              </w:rPr>
              <w:br/>
              <w:t xml:space="preserve">   o P1.1: 0%</w:t>
            </w:r>
            <w:r w:rsidRPr="0073029B">
              <w:rPr>
                <w:rFonts w:eastAsia="Times New Roman" w:cs="Tahoma"/>
                <w:szCs w:val="16"/>
                <w:lang w:eastAsia="es-CR"/>
              </w:rPr>
              <w:br/>
              <w:t xml:space="preserve">   o P1.2: 0%</w:t>
            </w:r>
            <w:r w:rsidRPr="0073029B">
              <w:rPr>
                <w:rFonts w:eastAsia="Times New Roman" w:cs="Tahoma"/>
                <w:szCs w:val="16"/>
                <w:lang w:eastAsia="es-CR"/>
              </w:rPr>
              <w:br/>
              <w:t xml:space="preserve">   o P1.3: 0%</w:t>
            </w:r>
            <w:r w:rsidRPr="0073029B">
              <w:rPr>
                <w:rFonts w:eastAsia="Times New Roman" w:cs="Tahoma"/>
                <w:szCs w:val="16"/>
                <w:lang w:eastAsia="es-CR"/>
              </w:rPr>
              <w:br/>
              <w:t xml:space="preserve">   o P1.4: 0%</w:t>
            </w:r>
            <w:r w:rsidRPr="0073029B">
              <w:rPr>
                <w:rFonts w:eastAsia="Times New Roman" w:cs="Tahoma"/>
                <w:szCs w:val="16"/>
                <w:lang w:eastAsia="es-CR"/>
              </w:rPr>
              <w:br/>
              <w:t xml:space="preserve">   o P1.5: 0%</w:t>
            </w:r>
            <w:r w:rsidRPr="0073029B">
              <w:rPr>
                <w:rFonts w:eastAsia="Times New Roman" w:cs="Tahoma"/>
                <w:szCs w:val="16"/>
                <w:lang w:eastAsia="es-CR"/>
              </w:rPr>
              <w:br/>
              <w:t xml:space="preserve">   o P1.6: 0%</w:t>
            </w:r>
            <w:r w:rsidRPr="0073029B">
              <w:rPr>
                <w:rFonts w:eastAsia="Times New Roman" w:cs="Tahoma"/>
                <w:szCs w:val="16"/>
                <w:lang w:eastAsia="es-CR"/>
              </w:rPr>
              <w:br/>
              <w:t xml:space="preserve"> - 002675: 10,31%</w:t>
            </w:r>
            <w:r w:rsidRPr="0073029B">
              <w:rPr>
                <w:rFonts w:eastAsia="Times New Roman" w:cs="Tahoma"/>
                <w:szCs w:val="16"/>
                <w:lang w:eastAsia="es-CR"/>
              </w:rPr>
              <w:br/>
              <w:t xml:space="preserve">   o P1.7: 10,31% (4 DP → Huetar Caribe [4])</w:t>
            </w:r>
            <w:r w:rsidRPr="0073029B">
              <w:rPr>
                <w:rFonts w:eastAsia="Times New Roman" w:cs="Tahoma"/>
                <w:szCs w:val="16"/>
                <w:lang w:eastAsia="es-CR"/>
              </w:rPr>
              <w:br/>
            </w:r>
            <w:r w:rsidRPr="0073029B">
              <w:rPr>
                <w:rFonts w:eastAsia="Times New Roman" w:cs="Tahoma"/>
                <w:szCs w:val="16"/>
                <w:lang w:eastAsia="es-CR"/>
              </w:rPr>
              <w:br/>
            </w:r>
            <w:r w:rsidRPr="0073029B">
              <w:rPr>
                <w:rFonts w:eastAsia="Times New Roman" w:cs="Tahoma"/>
                <w:b/>
                <w:bCs/>
                <w:szCs w:val="16"/>
                <w:lang w:eastAsia="es-CR"/>
              </w:rPr>
              <w:t>2024:</w:t>
            </w:r>
            <w:r w:rsidRPr="0073029B">
              <w:rPr>
                <w:rFonts w:eastAsia="Times New Roman" w:cs="Tahoma"/>
                <w:szCs w:val="16"/>
                <w:lang w:eastAsia="es-CR"/>
              </w:rPr>
              <w:t xml:space="preserve"> 26,23%</w:t>
            </w:r>
            <w:r w:rsidRPr="0073029B">
              <w:rPr>
                <w:rFonts w:eastAsia="Times New Roman" w:cs="Tahoma"/>
                <w:szCs w:val="16"/>
                <w:lang w:eastAsia="es-CR"/>
              </w:rPr>
              <w:br/>
              <w:t>- 002674: 0,45%</w:t>
            </w:r>
            <w:r w:rsidRPr="0073029B">
              <w:rPr>
                <w:rFonts w:eastAsia="Times New Roman" w:cs="Tahoma"/>
                <w:szCs w:val="16"/>
                <w:lang w:eastAsia="es-CR"/>
              </w:rPr>
              <w:br/>
              <w:t xml:space="preserve">   o P1.1: 0%</w:t>
            </w:r>
            <w:r w:rsidRPr="0073029B">
              <w:rPr>
                <w:rFonts w:eastAsia="Times New Roman" w:cs="Tahoma"/>
                <w:szCs w:val="16"/>
                <w:lang w:eastAsia="es-CR"/>
              </w:rPr>
              <w:br/>
              <w:t xml:space="preserve">   o P1.2: 0%</w:t>
            </w:r>
            <w:r w:rsidRPr="0073029B">
              <w:rPr>
                <w:rFonts w:eastAsia="Times New Roman" w:cs="Tahoma"/>
                <w:szCs w:val="16"/>
                <w:lang w:eastAsia="es-CR"/>
              </w:rPr>
              <w:br/>
              <w:t xml:space="preserve">   o P1.3: 0,45%</w:t>
            </w:r>
            <w:r w:rsidRPr="0073029B">
              <w:rPr>
                <w:rFonts w:eastAsia="Times New Roman" w:cs="Tahoma"/>
                <w:szCs w:val="16"/>
                <w:lang w:eastAsia="es-CR"/>
              </w:rPr>
              <w:br/>
              <w:t xml:space="preserve">   o P1.4: 0%</w:t>
            </w:r>
            <w:r w:rsidRPr="0073029B">
              <w:rPr>
                <w:rFonts w:eastAsia="Times New Roman" w:cs="Tahoma"/>
                <w:szCs w:val="16"/>
                <w:lang w:eastAsia="es-CR"/>
              </w:rPr>
              <w:br/>
              <w:t xml:space="preserve">   o P1.5: 0%</w:t>
            </w:r>
            <w:r w:rsidRPr="0073029B">
              <w:rPr>
                <w:rFonts w:eastAsia="Times New Roman" w:cs="Tahoma"/>
                <w:szCs w:val="16"/>
                <w:lang w:eastAsia="es-CR"/>
              </w:rPr>
              <w:br/>
              <w:t xml:space="preserve">   o P1.6: 0,38%</w:t>
            </w:r>
            <w:r w:rsidRPr="0073029B">
              <w:rPr>
                <w:rFonts w:eastAsia="Times New Roman" w:cs="Tahoma"/>
                <w:szCs w:val="16"/>
                <w:lang w:eastAsia="es-CR"/>
              </w:rPr>
              <w:br/>
              <w:t>- 002675: 25,78%</w:t>
            </w:r>
            <w:r w:rsidRPr="0073029B">
              <w:rPr>
                <w:rFonts w:eastAsia="Times New Roman" w:cs="Tahoma"/>
                <w:szCs w:val="16"/>
                <w:lang w:eastAsia="es-CR"/>
              </w:rPr>
              <w:br/>
              <w:t xml:space="preserve">  o P1.7: 25,78% (5 DP → Huetar Caribe [3]; Central [2])</w:t>
            </w:r>
          </w:p>
          <w:p w14:paraId="09352140" w14:textId="77777777" w:rsidR="003855FD" w:rsidRPr="0073029B" w:rsidRDefault="003855FD" w:rsidP="004D2834">
            <w:pPr>
              <w:spacing w:after="0"/>
              <w:rPr>
                <w:rFonts w:cs="Tahoma"/>
                <w:szCs w:val="16"/>
                <w:lang w:eastAsia="es-CR"/>
              </w:rPr>
            </w:pPr>
            <w:r w:rsidRPr="0073029B">
              <w:rPr>
                <w:rFonts w:eastAsia="Times New Roman" w:cs="Tahoma"/>
                <w:szCs w:val="16"/>
                <w:lang w:eastAsia="es-CR"/>
              </w:rPr>
              <w:br/>
            </w:r>
            <w:r w:rsidRPr="0073029B">
              <w:rPr>
                <w:rFonts w:cs="Tahoma"/>
                <w:b/>
                <w:bCs/>
                <w:szCs w:val="16"/>
                <w:lang w:eastAsia="es-CR"/>
              </w:rPr>
              <w:t>2025:</w:t>
            </w:r>
            <w:r w:rsidRPr="0073029B">
              <w:rPr>
                <w:rFonts w:cs="Tahoma"/>
                <w:szCs w:val="16"/>
                <w:lang w:eastAsia="es-CR"/>
              </w:rPr>
              <w:t xml:space="preserve"> 36,88%</w:t>
            </w:r>
            <w:r w:rsidRPr="0073029B">
              <w:rPr>
                <w:rFonts w:cs="Tahoma"/>
                <w:szCs w:val="16"/>
                <w:lang w:eastAsia="es-CR"/>
              </w:rPr>
              <w:br/>
              <w:t>- 002674: 3,64%</w:t>
            </w:r>
            <w:r w:rsidRPr="0073029B">
              <w:rPr>
                <w:rFonts w:cs="Tahoma"/>
                <w:szCs w:val="16"/>
                <w:lang w:eastAsia="es-CR"/>
              </w:rPr>
              <w:br/>
              <w:t xml:space="preserve">   o P1.3: 0,45%</w:t>
            </w:r>
            <w:r w:rsidRPr="0073029B">
              <w:rPr>
                <w:rFonts w:cs="Tahoma"/>
                <w:szCs w:val="16"/>
                <w:lang w:eastAsia="es-CR"/>
              </w:rPr>
              <w:br/>
              <w:t xml:space="preserve">  o P1.4: 2,58%</w:t>
            </w:r>
            <w:r w:rsidRPr="0073029B">
              <w:rPr>
                <w:rFonts w:cs="Tahoma"/>
                <w:szCs w:val="16"/>
                <w:lang w:eastAsia="es-CR"/>
              </w:rPr>
              <w:br/>
              <w:t xml:space="preserve">  o P1.5: 0,23%</w:t>
            </w:r>
            <w:r w:rsidRPr="0073029B">
              <w:rPr>
                <w:rFonts w:cs="Tahoma"/>
                <w:szCs w:val="16"/>
                <w:lang w:eastAsia="es-CR"/>
              </w:rPr>
              <w:br/>
              <w:t xml:space="preserve">  o P1.6: 0,38%</w:t>
            </w:r>
          </w:p>
          <w:p w14:paraId="5649580F" w14:textId="77777777" w:rsidR="003855FD" w:rsidRPr="0073029B" w:rsidRDefault="003855FD" w:rsidP="004D2834">
            <w:pPr>
              <w:spacing w:after="0"/>
              <w:rPr>
                <w:rFonts w:cs="Tahoma"/>
                <w:szCs w:val="16"/>
                <w:lang w:eastAsia="es-CR"/>
              </w:rPr>
            </w:pPr>
            <w:r w:rsidRPr="0073029B">
              <w:rPr>
                <w:rFonts w:cs="Tahoma"/>
                <w:szCs w:val="16"/>
                <w:lang w:eastAsia="es-CR"/>
              </w:rPr>
              <w:t xml:space="preserve">  o P1.8: 0%</w:t>
            </w:r>
          </w:p>
          <w:p w14:paraId="56C4200C" w14:textId="77777777" w:rsidR="003855FD" w:rsidRPr="0073029B" w:rsidRDefault="003855FD" w:rsidP="004D2834">
            <w:pPr>
              <w:rPr>
                <w:rFonts w:cs="Tahoma"/>
                <w:szCs w:val="16"/>
                <w:lang w:eastAsia="es-CR"/>
              </w:rPr>
            </w:pPr>
            <w:r w:rsidRPr="0073029B">
              <w:rPr>
                <w:rFonts w:cs="Tahoma"/>
                <w:szCs w:val="16"/>
                <w:lang w:eastAsia="es-CR"/>
              </w:rPr>
              <w:br/>
              <w:t>- 002675: 33,24%</w:t>
            </w:r>
            <w:r w:rsidRPr="0073029B">
              <w:rPr>
                <w:rFonts w:cs="Tahoma"/>
                <w:szCs w:val="16"/>
                <w:lang w:eastAsia="es-CR"/>
              </w:rPr>
              <w:br/>
              <w:t xml:space="preserve">  o P1.7: 33,24% (1 DP → Huetar Caribe)</w:t>
            </w:r>
          </w:p>
          <w:p w14:paraId="3D0E5C14" w14:textId="77777777" w:rsidR="003855FD" w:rsidRPr="0073029B" w:rsidRDefault="003855FD" w:rsidP="004D2834">
            <w:pPr>
              <w:spacing w:after="0"/>
              <w:rPr>
                <w:rFonts w:cs="Tahoma"/>
                <w:szCs w:val="16"/>
                <w:lang w:eastAsia="es-CR"/>
              </w:rPr>
            </w:pPr>
            <w:r w:rsidRPr="0073029B">
              <w:rPr>
                <w:rFonts w:cs="Tahoma"/>
                <w:szCs w:val="16"/>
                <w:lang w:eastAsia="es-CR"/>
              </w:rPr>
              <w:br/>
            </w:r>
            <w:r w:rsidRPr="0073029B">
              <w:rPr>
                <w:rFonts w:cs="Tahoma"/>
                <w:b/>
                <w:bCs/>
                <w:szCs w:val="16"/>
                <w:lang w:eastAsia="es-CR"/>
              </w:rPr>
              <w:t>2026:</w:t>
            </w:r>
            <w:r w:rsidRPr="0073029B">
              <w:rPr>
                <w:rFonts w:cs="Tahoma"/>
                <w:szCs w:val="16"/>
                <w:lang w:eastAsia="es-CR"/>
              </w:rPr>
              <w:t xml:space="preserve"> 100%</w:t>
            </w:r>
            <w:r w:rsidRPr="0073029B">
              <w:rPr>
                <w:rFonts w:cs="Tahoma"/>
                <w:szCs w:val="16"/>
                <w:lang w:eastAsia="es-CR"/>
              </w:rPr>
              <w:br/>
              <w:t>- 002674: 9,78%</w:t>
            </w:r>
            <w:r w:rsidRPr="0073029B">
              <w:rPr>
                <w:rFonts w:cs="Tahoma"/>
                <w:szCs w:val="16"/>
                <w:lang w:eastAsia="es-CR"/>
              </w:rPr>
              <w:br/>
              <w:t xml:space="preserve">  o P1.3: 0,45%</w:t>
            </w:r>
            <w:r w:rsidRPr="0073029B">
              <w:rPr>
                <w:rFonts w:cs="Tahoma"/>
                <w:szCs w:val="16"/>
                <w:lang w:eastAsia="es-CR"/>
              </w:rPr>
              <w:br/>
              <w:t xml:space="preserve">  o P1.4: 2,58%</w:t>
            </w:r>
            <w:r w:rsidRPr="0073029B">
              <w:rPr>
                <w:rFonts w:cs="Tahoma"/>
                <w:szCs w:val="16"/>
                <w:lang w:eastAsia="es-CR"/>
              </w:rPr>
              <w:br/>
              <w:t xml:space="preserve">  o P1.5: 0,23%</w:t>
            </w:r>
            <w:r w:rsidRPr="0073029B">
              <w:rPr>
                <w:rFonts w:cs="Tahoma"/>
                <w:szCs w:val="16"/>
                <w:lang w:eastAsia="es-CR"/>
              </w:rPr>
              <w:br/>
              <w:t xml:space="preserve">  o P1.6: 0,38%</w:t>
            </w:r>
          </w:p>
          <w:p w14:paraId="6AEF3E6F" w14:textId="77777777" w:rsidR="003855FD" w:rsidRPr="0073029B" w:rsidRDefault="003855FD" w:rsidP="004D2834">
            <w:pPr>
              <w:rPr>
                <w:rFonts w:cs="Tahoma"/>
                <w:szCs w:val="16"/>
                <w:lang w:eastAsia="es-CR"/>
              </w:rPr>
            </w:pPr>
            <w:r w:rsidRPr="0073029B">
              <w:rPr>
                <w:rFonts w:cs="Tahoma"/>
                <w:szCs w:val="16"/>
                <w:lang w:eastAsia="es-CR"/>
              </w:rPr>
              <w:t xml:space="preserve">  o P1.8: 6,14%</w:t>
            </w:r>
          </w:p>
          <w:p w14:paraId="773B19FD" w14:textId="77777777" w:rsidR="003855FD" w:rsidRPr="0073029B" w:rsidRDefault="003855FD" w:rsidP="004D2834">
            <w:pPr>
              <w:spacing w:after="0"/>
              <w:rPr>
                <w:rFonts w:cs="Tahoma"/>
                <w:szCs w:val="16"/>
                <w:lang w:eastAsia="es-CR"/>
              </w:rPr>
            </w:pPr>
            <w:r w:rsidRPr="0073029B">
              <w:rPr>
                <w:rFonts w:cs="Tahoma"/>
                <w:szCs w:val="16"/>
                <w:lang w:eastAsia="es-CR"/>
              </w:rPr>
              <w:lastRenderedPageBreak/>
              <w:t>- 002675: 90,22%</w:t>
            </w:r>
            <w:r w:rsidRPr="0073029B">
              <w:rPr>
                <w:rFonts w:cs="Tahoma"/>
                <w:szCs w:val="16"/>
                <w:lang w:eastAsia="es-CR"/>
              </w:rPr>
              <w:br/>
              <w:t xml:space="preserve">  o P1.7: 90,22% (12 DP → Central [5]); Huetar Caribe [3]; Pacífico Central [2]; Chorotega [2])</w:t>
            </w:r>
          </w:p>
        </w:tc>
      </w:tr>
      <w:tr w:rsidR="003855FD" w:rsidRPr="0073029B" w14:paraId="2CFE3A6C" w14:textId="77777777" w:rsidTr="004D2834">
        <w:trPr>
          <w:trHeight w:val="420"/>
        </w:trPr>
        <w:tc>
          <w:tcPr>
            <w:tcW w:w="1463" w:type="pct"/>
            <w:gridSpan w:val="2"/>
            <w:shd w:val="clear" w:color="auto" w:fill="auto"/>
            <w:hideMark/>
          </w:tcPr>
          <w:p w14:paraId="6E92AB0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Periodicidad del PNDIP para el</w:t>
            </w:r>
            <w:r w:rsidRPr="0073029B">
              <w:rPr>
                <w:rFonts w:eastAsia="Times New Roman" w:cs="Tahoma"/>
                <w:b/>
                <w:bCs/>
                <w:color w:val="000000"/>
                <w:szCs w:val="16"/>
                <w:lang w:eastAsia="es-CR"/>
              </w:rPr>
              <w:br/>
              <w:t>seguimiento</w:t>
            </w:r>
          </w:p>
        </w:tc>
        <w:tc>
          <w:tcPr>
            <w:tcW w:w="3537" w:type="pct"/>
            <w:shd w:val="clear" w:color="auto" w:fill="auto"/>
            <w:hideMark/>
          </w:tcPr>
          <w:p w14:paraId="0BB800A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Semestral / Anual</w:t>
            </w:r>
          </w:p>
        </w:tc>
      </w:tr>
      <w:tr w:rsidR="003855FD" w:rsidRPr="0073029B" w14:paraId="6EF9E515" w14:textId="77777777" w:rsidTr="004D2834">
        <w:trPr>
          <w:trHeight w:val="648"/>
        </w:trPr>
        <w:tc>
          <w:tcPr>
            <w:tcW w:w="1463" w:type="pct"/>
            <w:gridSpan w:val="2"/>
            <w:shd w:val="clear" w:color="auto" w:fill="auto"/>
            <w:hideMark/>
          </w:tcPr>
          <w:p w14:paraId="301411B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37" w:type="pct"/>
            <w:shd w:val="clear" w:color="auto" w:fill="auto"/>
            <w:hideMark/>
          </w:tcPr>
          <w:p w14:paraId="0CF829BE"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Unidad Ejecutora del Programa de Seguridad Ciudadana y Prevención de Violencia (UCPPSCPV). Coordinación General, proceso de planificación y seguimiento. Documento MS Excel “CR_L1137_Avance Indicador”. Ministerio de Justicia y Paz.</w:t>
            </w:r>
          </w:p>
          <w:p w14:paraId="27662176" w14:textId="77777777" w:rsidR="003855FD" w:rsidRPr="0073029B" w:rsidRDefault="003855FD" w:rsidP="004D2834">
            <w:pPr>
              <w:spacing w:after="0" w:line="240" w:lineRule="auto"/>
              <w:jc w:val="both"/>
              <w:rPr>
                <w:rFonts w:eastAsia="Times New Roman" w:cs="Tahoma"/>
                <w:color w:val="000000"/>
                <w:szCs w:val="16"/>
                <w:lang w:eastAsia="es-CR"/>
              </w:rPr>
            </w:pPr>
          </w:p>
          <w:p w14:paraId="141E71A1" w14:textId="77777777" w:rsidR="003855FD" w:rsidRPr="0073029B" w:rsidRDefault="003855FD" w:rsidP="004D2834">
            <w:pPr>
              <w:spacing w:after="0" w:line="240" w:lineRule="auto"/>
              <w:jc w:val="both"/>
              <w:rPr>
                <w:rFonts w:eastAsia="Times New Roman" w:cs="Tahoma"/>
                <w:color w:val="000000"/>
                <w:szCs w:val="16"/>
                <w:lang w:eastAsia="es-CR"/>
              </w:rPr>
            </w:pPr>
          </w:p>
        </w:tc>
      </w:tr>
      <w:tr w:rsidR="003855FD" w:rsidRPr="0073029B" w14:paraId="6DCCB372" w14:textId="77777777" w:rsidTr="004D2834">
        <w:trPr>
          <w:trHeight w:val="450"/>
        </w:trPr>
        <w:tc>
          <w:tcPr>
            <w:tcW w:w="1463" w:type="pct"/>
            <w:gridSpan w:val="2"/>
            <w:vMerge w:val="restart"/>
            <w:shd w:val="clear" w:color="auto" w:fill="auto"/>
            <w:hideMark/>
          </w:tcPr>
          <w:p w14:paraId="03D64E4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537" w:type="pct"/>
            <w:vMerge w:val="restart"/>
            <w:shd w:val="clear" w:color="auto" w:fill="auto"/>
            <w:hideMark/>
          </w:tcPr>
          <w:p w14:paraId="4F8649DE"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356EB01A" w14:textId="77777777" w:rsidTr="004D2834">
        <w:trPr>
          <w:trHeight w:val="368"/>
        </w:trPr>
        <w:tc>
          <w:tcPr>
            <w:tcW w:w="1463" w:type="pct"/>
            <w:gridSpan w:val="2"/>
            <w:vMerge/>
            <w:vAlign w:val="center"/>
            <w:hideMark/>
          </w:tcPr>
          <w:p w14:paraId="610D0889" w14:textId="77777777" w:rsidR="003855FD" w:rsidRPr="0073029B" w:rsidRDefault="003855FD" w:rsidP="004D2834">
            <w:pPr>
              <w:spacing w:after="0" w:line="240" w:lineRule="auto"/>
              <w:rPr>
                <w:rFonts w:eastAsia="Times New Roman" w:cs="Tahoma"/>
                <w:b/>
                <w:bCs/>
                <w:color w:val="000000"/>
                <w:szCs w:val="16"/>
                <w:lang w:eastAsia="es-CR"/>
              </w:rPr>
            </w:pPr>
          </w:p>
        </w:tc>
        <w:tc>
          <w:tcPr>
            <w:tcW w:w="3537" w:type="pct"/>
            <w:vMerge/>
            <w:vAlign w:val="center"/>
            <w:hideMark/>
          </w:tcPr>
          <w:p w14:paraId="4C0D4DCE"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247A47B9" w14:textId="77777777" w:rsidTr="004D2834">
        <w:trPr>
          <w:trHeight w:val="612"/>
        </w:trPr>
        <w:tc>
          <w:tcPr>
            <w:tcW w:w="1463" w:type="pct"/>
            <w:gridSpan w:val="2"/>
            <w:shd w:val="clear" w:color="auto" w:fill="auto"/>
            <w:hideMark/>
          </w:tcPr>
          <w:p w14:paraId="7266AE3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37" w:type="pct"/>
            <w:shd w:val="clear" w:color="auto" w:fill="auto"/>
            <w:hideMark/>
          </w:tcPr>
          <w:p w14:paraId="68371700"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Registro administrativo de la Gerencia del Componente 1 sobre el avance en la ejecución de los productos P1.1 a P1.6 y de la Gerencia de Infraestructura sobre el avance en la ejecución del producto P1.7.</w:t>
            </w:r>
          </w:p>
        </w:tc>
      </w:tr>
      <w:tr w:rsidR="003855FD" w:rsidRPr="0073029B" w14:paraId="662C2EE6" w14:textId="77777777" w:rsidTr="004D2834">
        <w:trPr>
          <w:trHeight w:val="432"/>
        </w:trPr>
        <w:tc>
          <w:tcPr>
            <w:tcW w:w="1463" w:type="pct"/>
            <w:gridSpan w:val="2"/>
            <w:shd w:val="clear" w:color="auto" w:fill="auto"/>
            <w:hideMark/>
          </w:tcPr>
          <w:p w14:paraId="021E4D3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w:t>
            </w:r>
            <w:r w:rsidRPr="0073029B">
              <w:rPr>
                <w:rFonts w:eastAsia="Times New Roman" w:cs="Tahoma"/>
                <w:b/>
                <w:bCs/>
                <w:color w:val="000000"/>
                <w:szCs w:val="16"/>
                <w:lang w:eastAsia="es-CR"/>
              </w:rPr>
              <w:br/>
              <w:t>Sostenible (ODS) vinculado</w:t>
            </w:r>
          </w:p>
        </w:tc>
        <w:tc>
          <w:tcPr>
            <w:tcW w:w="3537" w:type="pct"/>
            <w:shd w:val="clear" w:color="auto" w:fill="auto"/>
            <w:hideMark/>
          </w:tcPr>
          <w:p w14:paraId="5F84012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16: 16.6.1</w:t>
            </w:r>
          </w:p>
        </w:tc>
      </w:tr>
      <w:tr w:rsidR="003855FD" w:rsidRPr="0073029B" w14:paraId="35420499" w14:textId="77777777" w:rsidTr="004D2834">
        <w:trPr>
          <w:trHeight w:val="432"/>
        </w:trPr>
        <w:tc>
          <w:tcPr>
            <w:tcW w:w="1463" w:type="pct"/>
            <w:gridSpan w:val="2"/>
            <w:shd w:val="clear" w:color="auto" w:fill="auto"/>
            <w:hideMark/>
          </w:tcPr>
          <w:p w14:paraId="48100B3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537" w:type="pct"/>
            <w:shd w:val="clear" w:color="auto" w:fill="auto"/>
            <w:hideMark/>
          </w:tcPr>
          <w:p w14:paraId="2A8B18C5"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71A64DBC" w14:textId="77777777" w:rsidTr="004D2834">
        <w:trPr>
          <w:trHeight w:val="432"/>
        </w:trPr>
        <w:tc>
          <w:tcPr>
            <w:tcW w:w="1463" w:type="pct"/>
            <w:gridSpan w:val="2"/>
            <w:shd w:val="clear" w:color="auto" w:fill="auto"/>
            <w:hideMark/>
          </w:tcPr>
          <w:p w14:paraId="40B742E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w:t>
            </w:r>
            <w:r w:rsidRPr="0073029B">
              <w:rPr>
                <w:rFonts w:eastAsia="Times New Roman" w:cs="Tahoma"/>
                <w:b/>
                <w:bCs/>
                <w:color w:val="000000"/>
                <w:szCs w:val="16"/>
                <w:lang w:eastAsia="es-CR"/>
              </w:rPr>
              <w:br/>
              <w:t>de Montevideo</w:t>
            </w:r>
          </w:p>
        </w:tc>
        <w:tc>
          <w:tcPr>
            <w:tcW w:w="3537" w:type="pct"/>
            <w:shd w:val="clear" w:color="auto" w:fill="auto"/>
            <w:hideMark/>
          </w:tcPr>
          <w:p w14:paraId="518EE2F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 B y G: 1, 7 y 79.</w:t>
            </w:r>
          </w:p>
        </w:tc>
      </w:tr>
      <w:tr w:rsidR="003855FD" w:rsidRPr="0073029B" w14:paraId="6DFB6AA1" w14:textId="77777777" w:rsidTr="004D2834">
        <w:trPr>
          <w:trHeight w:val="432"/>
        </w:trPr>
        <w:tc>
          <w:tcPr>
            <w:tcW w:w="1463" w:type="pct"/>
            <w:gridSpan w:val="2"/>
            <w:shd w:val="clear" w:color="auto" w:fill="auto"/>
            <w:hideMark/>
          </w:tcPr>
          <w:p w14:paraId="140118F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w:t>
            </w:r>
            <w:r w:rsidRPr="0073029B">
              <w:rPr>
                <w:rFonts w:eastAsia="Times New Roman" w:cs="Tahoma"/>
                <w:b/>
                <w:bCs/>
                <w:color w:val="000000"/>
                <w:szCs w:val="16"/>
                <w:lang w:eastAsia="es-CR"/>
              </w:rPr>
              <w:br/>
              <w:t>Desarrollo</w:t>
            </w:r>
          </w:p>
        </w:tc>
        <w:tc>
          <w:tcPr>
            <w:tcW w:w="3537" w:type="pct"/>
            <w:shd w:val="clear" w:color="auto" w:fill="auto"/>
            <w:hideMark/>
          </w:tcPr>
          <w:p w14:paraId="092866C6"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PRD Central: 1.3.2, PRD Brunca: 2.6, PRD Pacífico Central: 3.3, PRD Chorotega: 4.2.2, PRD Huetar Caribe: 5.6.1.</w:t>
            </w:r>
          </w:p>
        </w:tc>
      </w:tr>
      <w:tr w:rsidR="003855FD" w:rsidRPr="0073029B" w14:paraId="24AD4307" w14:textId="77777777" w:rsidTr="004D2834">
        <w:trPr>
          <w:trHeight w:val="1344"/>
        </w:trPr>
        <w:tc>
          <w:tcPr>
            <w:tcW w:w="1463" w:type="pct"/>
            <w:gridSpan w:val="2"/>
            <w:shd w:val="clear" w:color="auto" w:fill="auto"/>
            <w:hideMark/>
          </w:tcPr>
          <w:p w14:paraId="6136A53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37" w:type="pct"/>
            <w:shd w:val="clear" w:color="auto" w:fill="auto"/>
            <w:hideMark/>
          </w:tcPr>
          <w:p w14:paraId="086DEDA7"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El Programa de Seguridad Ciudadana y Prevención de Violencia se financia mediante el Contrato de Préstamo 4871/OC-CR del Banco Interamericano de Desarrollo y aprobado mediante la Ley 9968. El plazo máximo es de 5 años para ejecutar los proyectos desde el 17 de marzo de 2021 al 16 de marzo de 2026, en cumplimiento del Contrato de Préstamo. Las metas anuales regionalizadas para el producto 1.7 “Delegaciones diseñadas, construida,</w:t>
            </w:r>
            <w:r w:rsidRPr="0073029B">
              <w:rPr>
                <w:rFonts w:eastAsia="Times New Roman" w:cs="Tahoma"/>
                <w:color w:val="000000"/>
                <w:szCs w:val="16"/>
                <w:lang w:eastAsia="es-CR"/>
              </w:rPr>
              <w:br/>
              <w:t>equipadas y operando bajo el enfoque de policía comunitaria” pueden variar dependiendo a la estrategia establecida por el Ministerio de Seguridad Pública, considerando la necesidad estratégica y la disponibilidad de terrenos en cada región.</w:t>
            </w:r>
          </w:p>
          <w:p w14:paraId="7C42E6FF" w14:textId="77777777" w:rsidR="003855FD" w:rsidRPr="0073029B" w:rsidRDefault="003855FD" w:rsidP="004D2834">
            <w:pPr>
              <w:spacing w:after="0" w:line="240" w:lineRule="auto"/>
              <w:jc w:val="both"/>
              <w:rPr>
                <w:rFonts w:eastAsia="Times New Roman" w:cs="Tahoma"/>
                <w:color w:val="000000"/>
                <w:szCs w:val="16"/>
                <w:lang w:eastAsia="es-CR"/>
              </w:rPr>
            </w:pPr>
          </w:p>
          <w:p w14:paraId="2DA4C1D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Los montos indicados por año en la Estimación Presupuestaria corresponden a la inversión acumulada del indicador.</w:t>
            </w:r>
          </w:p>
        </w:tc>
      </w:tr>
      <w:tr w:rsidR="003855FD" w:rsidRPr="0073029B" w14:paraId="25B42DF9" w14:textId="77777777" w:rsidTr="004D2834">
        <w:trPr>
          <w:trHeight w:val="780"/>
        </w:trPr>
        <w:tc>
          <w:tcPr>
            <w:tcW w:w="1463" w:type="pct"/>
            <w:gridSpan w:val="2"/>
            <w:shd w:val="clear" w:color="auto" w:fill="003A70"/>
            <w:hideMark/>
          </w:tcPr>
          <w:p w14:paraId="25F128E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537" w:type="pct"/>
            <w:shd w:val="clear" w:color="auto" w:fill="auto"/>
            <w:hideMark/>
          </w:tcPr>
          <w:p w14:paraId="2FBBED95"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2024:</w:t>
            </w:r>
            <w:r w:rsidRPr="0073029B">
              <w:rPr>
                <w:rFonts w:eastAsia="Times New Roman" w:cs="Tahoma"/>
                <w:color w:val="000000"/>
                <w:szCs w:val="16"/>
                <w:lang w:eastAsia="es-CR"/>
              </w:rPr>
              <w:t xml:space="preserve"> Se modificó los componentes involucrados en la fórmula del cálculo, la desagregación geográfica, la meta, la estimación presupuestaria, la fuente de información y el tipo de operación estadística. Oficio de aprobación MIDEPLAN-DVM-OF-0080-2024 (rige a partir de 2024).</w:t>
            </w:r>
          </w:p>
          <w:p w14:paraId="57962CAB"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2025:</w:t>
            </w:r>
            <w:r w:rsidRPr="0073029B">
              <w:rPr>
                <w:rFonts w:eastAsia="Times New Roman" w:cs="Tahoma"/>
                <w:color w:val="000000"/>
                <w:szCs w:val="16"/>
                <w:lang w:eastAsia="es-CR"/>
              </w:rPr>
              <w:t xml:space="preserve"> Se modificó los componentes involucrados en la fórmula del cálculo, la desagregación geográfica, la meta y la estimación presupuestaria. Oficio de aprobación CARTA-MIDEPLAN-DVM-0192-2025 (rige a partir de 2025).</w:t>
            </w:r>
          </w:p>
          <w:p w14:paraId="373C7729"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2025:</w:t>
            </w:r>
            <w:r w:rsidRPr="0073029B">
              <w:rPr>
                <w:rFonts w:eastAsia="Times New Roman" w:cs="Tahoma"/>
                <w:color w:val="000000"/>
                <w:szCs w:val="16"/>
                <w:lang w:eastAsia="es-CR"/>
              </w:rPr>
              <w:t xml:space="preserve"> Se modificó los comentarios generales. Oficio de aprobación CARTA-MIDEPLAN-DVM-0217-2025 (rige a partir de 2025).</w:t>
            </w:r>
          </w:p>
        </w:tc>
      </w:tr>
    </w:tbl>
    <w:p w14:paraId="0C546747" w14:textId="77777777" w:rsidR="003855FD" w:rsidRPr="0073029B" w:rsidRDefault="003855FD" w:rsidP="003855FD">
      <w:pPr>
        <w:pStyle w:val="Default"/>
        <w:jc w:val="both"/>
        <w:rPr>
          <w:rFonts w:ascii="Tahoma" w:eastAsia="Arial Narrow" w:hAnsi="Tahoma" w:cs="Tahoma"/>
          <w:sz w:val="16"/>
          <w:szCs w:val="16"/>
        </w:rPr>
      </w:pPr>
      <w:r w:rsidRPr="0073029B">
        <w:rPr>
          <w:rFonts w:ascii="Tahoma" w:eastAsia="Arial Narrow" w:hAnsi="Tahoma" w:cs="Tahoma"/>
          <w:sz w:val="16"/>
        </w:rPr>
        <w:t xml:space="preserve">Fuente: </w:t>
      </w:r>
      <w:r w:rsidRPr="0073029B">
        <w:rPr>
          <w:rFonts w:ascii="Tahoma" w:hAnsi="Tahoma" w:cs="Tahoma"/>
          <w:sz w:val="16"/>
          <w:szCs w:val="20"/>
        </w:rPr>
        <w:t>Unidad Ejecutora del Programa de Seguridad Ciudadana y Prevención de Violencia (UCPPSCPV), Ministerio de Justicia y Paz</w:t>
      </w:r>
      <w:r w:rsidRPr="0073029B">
        <w:rPr>
          <w:rFonts w:ascii="Tahoma" w:eastAsia="Arial Narrow" w:hAnsi="Tahoma" w:cs="Tahoma"/>
          <w:sz w:val="16"/>
        </w:rPr>
        <w:t>.</w:t>
      </w:r>
    </w:p>
    <w:p w14:paraId="1D0ABCA7" w14:textId="77777777" w:rsidR="003855FD" w:rsidRDefault="003855FD" w:rsidP="003855FD">
      <w:pPr>
        <w:pStyle w:val="Default"/>
        <w:rPr>
          <w:rFonts w:ascii="Tahoma" w:eastAsia="Arial Narrow" w:hAnsi="Tahoma" w:cs="Tahoma"/>
          <w:sz w:val="16"/>
          <w:szCs w:val="16"/>
        </w:rPr>
      </w:pPr>
    </w:p>
    <w:p w14:paraId="7F468AFD" w14:textId="77777777" w:rsidR="00914A1E" w:rsidRDefault="00914A1E" w:rsidP="003855FD">
      <w:pPr>
        <w:pStyle w:val="Default"/>
        <w:rPr>
          <w:rFonts w:ascii="Tahoma" w:eastAsia="Arial Narrow" w:hAnsi="Tahoma" w:cs="Tahoma"/>
          <w:sz w:val="16"/>
          <w:szCs w:val="16"/>
        </w:rPr>
      </w:pPr>
    </w:p>
    <w:p w14:paraId="055991CC" w14:textId="77777777" w:rsidR="00914A1E" w:rsidRDefault="00914A1E" w:rsidP="003855FD">
      <w:pPr>
        <w:pStyle w:val="Default"/>
        <w:rPr>
          <w:rFonts w:ascii="Tahoma" w:eastAsia="Arial Narrow" w:hAnsi="Tahoma" w:cs="Tahoma"/>
          <w:sz w:val="16"/>
          <w:szCs w:val="16"/>
        </w:rPr>
      </w:pPr>
    </w:p>
    <w:p w14:paraId="6A08C42F" w14:textId="77777777" w:rsidR="00914A1E" w:rsidRDefault="00914A1E" w:rsidP="003855FD">
      <w:pPr>
        <w:pStyle w:val="Default"/>
        <w:rPr>
          <w:rFonts w:ascii="Tahoma" w:eastAsia="Arial Narrow" w:hAnsi="Tahoma" w:cs="Tahoma"/>
          <w:sz w:val="16"/>
          <w:szCs w:val="16"/>
        </w:rPr>
      </w:pPr>
    </w:p>
    <w:p w14:paraId="60EAB4B6" w14:textId="77777777" w:rsidR="00914A1E" w:rsidRDefault="00914A1E" w:rsidP="003855FD">
      <w:pPr>
        <w:pStyle w:val="Default"/>
        <w:rPr>
          <w:rFonts w:ascii="Tahoma" w:eastAsia="Arial Narrow" w:hAnsi="Tahoma" w:cs="Tahoma"/>
          <w:sz w:val="16"/>
          <w:szCs w:val="16"/>
        </w:rPr>
      </w:pPr>
    </w:p>
    <w:p w14:paraId="1D91E5BD" w14:textId="77777777" w:rsidR="00914A1E" w:rsidRDefault="00914A1E" w:rsidP="003855FD">
      <w:pPr>
        <w:pStyle w:val="Default"/>
        <w:rPr>
          <w:rFonts w:ascii="Tahoma" w:eastAsia="Arial Narrow" w:hAnsi="Tahoma" w:cs="Tahoma"/>
          <w:sz w:val="16"/>
          <w:szCs w:val="16"/>
        </w:rPr>
      </w:pPr>
    </w:p>
    <w:p w14:paraId="5D719239" w14:textId="77777777" w:rsidR="00914A1E" w:rsidRPr="0073029B" w:rsidRDefault="00914A1E"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1249"/>
        <w:gridCol w:w="6595"/>
      </w:tblGrid>
      <w:tr w:rsidR="003855FD" w:rsidRPr="0073029B" w14:paraId="32AC6FBE" w14:textId="77777777" w:rsidTr="004D2834">
        <w:trPr>
          <w:trHeight w:val="228"/>
          <w:tblHeader/>
        </w:trPr>
        <w:tc>
          <w:tcPr>
            <w:tcW w:w="1463" w:type="pct"/>
            <w:gridSpan w:val="2"/>
            <w:shd w:val="clear" w:color="auto" w:fill="003A70"/>
            <w:hideMark/>
          </w:tcPr>
          <w:p w14:paraId="3FF40C70"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lastRenderedPageBreak/>
              <w:t>Indicador</w:t>
            </w:r>
          </w:p>
        </w:tc>
        <w:tc>
          <w:tcPr>
            <w:tcW w:w="3537" w:type="pct"/>
            <w:shd w:val="clear" w:color="auto" w:fill="003A70"/>
            <w:hideMark/>
          </w:tcPr>
          <w:p w14:paraId="108E0041"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A.2.1.2</w:t>
            </w:r>
          </w:p>
        </w:tc>
      </w:tr>
      <w:tr w:rsidR="003855FD" w:rsidRPr="0073029B" w14:paraId="1A7CC567" w14:textId="77777777" w:rsidTr="004D2834">
        <w:trPr>
          <w:trHeight w:val="288"/>
          <w:tblHeader/>
        </w:trPr>
        <w:tc>
          <w:tcPr>
            <w:tcW w:w="1463" w:type="pct"/>
            <w:gridSpan w:val="2"/>
            <w:shd w:val="clear" w:color="000000" w:fill="D9D9D9"/>
            <w:vAlign w:val="center"/>
            <w:hideMark/>
          </w:tcPr>
          <w:p w14:paraId="1C47935C"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37" w:type="pct"/>
            <w:shd w:val="clear" w:color="000000" w:fill="D9D9D9"/>
            <w:vAlign w:val="center"/>
            <w:hideMark/>
          </w:tcPr>
          <w:p w14:paraId="00ECE0E8"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29C37CD3" w14:textId="77777777" w:rsidTr="004D2834">
        <w:trPr>
          <w:trHeight w:val="432"/>
        </w:trPr>
        <w:tc>
          <w:tcPr>
            <w:tcW w:w="1463" w:type="pct"/>
            <w:gridSpan w:val="2"/>
            <w:shd w:val="clear" w:color="auto" w:fill="003A70"/>
            <w:hideMark/>
          </w:tcPr>
          <w:p w14:paraId="3FADBED6" w14:textId="77777777" w:rsidR="003855FD" w:rsidRPr="0073029B" w:rsidRDefault="003855FD" w:rsidP="004D2834">
            <w:pPr>
              <w:spacing w:after="0" w:line="240" w:lineRule="auto"/>
              <w:jc w:val="both"/>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537" w:type="pct"/>
            <w:shd w:val="clear" w:color="auto" w:fill="003A70"/>
            <w:hideMark/>
          </w:tcPr>
          <w:p w14:paraId="077EE27D" w14:textId="77777777" w:rsidR="003855FD" w:rsidRPr="0073029B" w:rsidRDefault="003855FD" w:rsidP="004D2834">
            <w:pPr>
              <w:spacing w:after="0"/>
              <w:jc w:val="both"/>
              <w:rPr>
                <w:rFonts w:cs="Tahoma"/>
                <w:b/>
                <w:lang w:eastAsia="es-CR"/>
              </w:rPr>
            </w:pPr>
            <w:bookmarkStart w:id="60" w:name="_Toc202257790"/>
            <w:r w:rsidRPr="0073029B">
              <w:rPr>
                <w:rFonts w:cs="Tahoma"/>
                <w:b/>
                <w:lang w:eastAsia="es-CR"/>
              </w:rPr>
              <w:t>A.2.1.2 Porcentaje acumulado de avance en la implementación del Componente 2 “Prevención Social de la Violencia” del Programa de Seguridad Ciudadana y Prevención de Violencia.</w:t>
            </w:r>
            <w:bookmarkEnd w:id="60"/>
          </w:p>
        </w:tc>
      </w:tr>
      <w:tr w:rsidR="003855FD" w:rsidRPr="0073029B" w14:paraId="35A45AFA" w14:textId="77777777" w:rsidTr="004D2834">
        <w:trPr>
          <w:trHeight w:val="563"/>
        </w:trPr>
        <w:tc>
          <w:tcPr>
            <w:tcW w:w="1463" w:type="pct"/>
            <w:gridSpan w:val="2"/>
            <w:shd w:val="clear" w:color="auto" w:fill="auto"/>
            <w:hideMark/>
          </w:tcPr>
          <w:p w14:paraId="4B9872F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37" w:type="pct"/>
            <w:shd w:val="clear" w:color="auto" w:fill="auto"/>
            <w:hideMark/>
          </w:tcPr>
          <w:p w14:paraId="327F05B5"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El Programa de Seguridad Ciudadana y Prevención de Violencia tiene como objetivo contribuir a la disminución de los homicidios y asaltos en Costa Rica. El objetivo específico relacionado con el Componente 2 es:</w:t>
            </w:r>
          </w:p>
          <w:p w14:paraId="4E0ACF6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w:t>
            </w:r>
            <w:proofErr w:type="spellStart"/>
            <w:r w:rsidRPr="0073029B">
              <w:rPr>
                <w:rFonts w:eastAsia="Times New Roman" w:cs="Tahoma"/>
                <w:color w:val="000000"/>
                <w:szCs w:val="16"/>
                <w:lang w:eastAsia="es-CR"/>
              </w:rPr>
              <w:t>ii</w:t>
            </w:r>
            <w:proofErr w:type="spellEnd"/>
            <w:r w:rsidRPr="0073029B">
              <w:rPr>
                <w:rFonts w:eastAsia="Times New Roman" w:cs="Tahoma"/>
                <w:color w:val="000000"/>
                <w:szCs w:val="16"/>
                <w:lang w:eastAsia="es-CR"/>
              </w:rPr>
              <w:t>) reducir los comportamientos delictivos de adolescentes y jóvenes vulnerables a la violencia, en distritos con desventajas concentradas.</w:t>
            </w:r>
          </w:p>
          <w:p w14:paraId="0FC2F29E"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Para alcanzar este objetivo el Programa cuenta con el siguiente componente y subcomponentes:</w:t>
            </w:r>
            <w:r w:rsidRPr="0073029B">
              <w:rPr>
                <w:rFonts w:eastAsia="Times New Roman" w:cs="Tahoma"/>
                <w:color w:val="000000"/>
                <w:szCs w:val="16"/>
                <w:lang w:eastAsia="es-CR"/>
              </w:rPr>
              <w:br/>
              <w:t>Componente 2: Prevención Social de la Violencia</w:t>
            </w:r>
            <w:r w:rsidRPr="0073029B">
              <w:rPr>
                <w:rFonts w:eastAsia="Times New Roman" w:cs="Tahoma"/>
                <w:color w:val="000000"/>
                <w:szCs w:val="16"/>
                <w:lang w:eastAsia="es-CR"/>
              </w:rPr>
              <w:br/>
              <w:t xml:space="preserve">  - Subcomponente 2.1 Fortalecimiento de la atención y la gestión de los Centros Cívicos por</w:t>
            </w:r>
            <w:r w:rsidRPr="0073029B">
              <w:rPr>
                <w:rFonts w:eastAsia="Times New Roman" w:cs="Tahoma"/>
                <w:color w:val="000000"/>
                <w:szCs w:val="16"/>
                <w:lang w:eastAsia="es-CR"/>
              </w:rPr>
              <w:br/>
              <w:t>la Paz (CCP).</w:t>
            </w:r>
          </w:p>
          <w:p w14:paraId="44E24F3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  - Subcomponente 2.2 Infraestructura CCP.</w:t>
            </w:r>
          </w:p>
          <w:p w14:paraId="3905FD8C"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En el Banco de Proyectos de Inversión Pública (BPIP) se cuentan con dos proyectos relacionados con este componente:</w:t>
            </w:r>
          </w:p>
          <w:p w14:paraId="35DCB469"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  - 002684: Construcción e implementación de ocho Centros Cívicos por la Paz en el Ministerio de Justicia y Paz en cantones prioritarios a nivel nacional.</w:t>
            </w:r>
          </w:p>
          <w:p w14:paraId="6F01DDBC"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 - 002685: Implementación de un Sistema de Registro y Seguimiento a participantes de Centros Cívicos por la Paz.</w:t>
            </w:r>
          </w:p>
        </w:tc>
      </w:tr>
      <w:tr w:rsidR="003855FD" w:rsidRPr="0073029B" w14:paraId="156F0937" w14:textId="77777777" w:rsidTr="004D2834">
        <w:trPr>
          <w:trHeight w:val="792"/>
        </w:trPr>
        <w:tc>
          <w:tcPr>
            <w:tcW w:w="1463" w:type="pct"/>
            <w:gridSpan w:val="2"/>
            <w:shd w:val="clear" w:color="auto" w:fill="auto"/>
            <w:hideMark/>
          </w:tcPr>
          <w:p w14:paraId="7D42EF0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537" w:type="pct"/>
            <w:shd w:val="clear" w:color="auto" w:fill="auto"/>
            <w:hideMark/>
          </w:tcPr>
          <w:p w14:paraId="0BD8C0F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noProof/>
                <w:color w:val="000000"/>
                <w:szCs w:val="16"/>
                <w:lang w:eastAsia="es-CR"/>
              </w:rPr>
              <w:drawing>
                <wp:anchor distT="0" distB="0" distL="114300" distR="114300" simplePos="0" relativeHeight="251658243" behindDoc="0" locked="0" layoutInCell="1" allowOverlap="1" wp14:anchorId="33FBF830" wp14:editId="646D121E">
                  <wp:simplePos x="0" y="0"/>
                  <wp:positionH relativeFrom="column">
                    <wp:posOffset>182880</wp:posOffset>
                  </wp:positionH>
                  <wp:positionV relativeFrom="paragraph">
                    <wp:posOffset>60960</wp:posOffset>
                  </wp:positionV>
                  <wp:extent cx="784860" cy="342900"/>
                  <wp:effectExtent l="0" t="0" r="0" b="0"/>
                  <wp:wrapNone/>
                  <wp:docPr id="8" name="Imagen 8">
                    <a:extLst xmlns:a="http://schemas.openxmlformats.org/drawingml/2006/main">
                      <a:ext uri="{FF2B5EF4-FFF2-40B4-BE49-F238E27FC236}">
                        <a16:creationId xmlns:a16="http://schemas.microsoft.com/office/drawing/2014/main" id="{71991AC9-7D3E-4B72-A97A-9061A77E946D}"/>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1991AC9-7D3E-4B72-A97A-9061A77E946D}"/>
                              </a:ext>
                            </a:extLst>
                          </pic:cNvPr>
                          <pic:cNvPicPr>
                            <a:picLocks noChangeAspect="1"/>
                          </pic:cNvPicPr>
                        </pic:nvPicPr>
                        <pic:blipFill>
                          <a:blip r:embed="rId27"/>
                          <a:stretch>
                            <a:fillRect/>
                          </a:stretch>
                        </pic:blipFill>
                        <pic:spPr>
                          <a:xfrm>
                            <a:off x="0" y="0"/>
                            <a:ext cx="799524" cy="341320"/>
                          </a:xfrm>
                          <a:prstGeom prst="rect">
                            <a:avLst/>
                          </a:prstGeom>
                        </pic:spPr>
                      </pic:pic>
                    </a:graphicData>
                  </a:graphic>
                  <wp14:sizeRelH relativeFrom="page">
                    <wp14:pctWidth>0</wp14:pctWidth>
                  </wp14:sizeRelH>
                  <wp14:sizeRelV relativeFrom="page">
                    <wp14:pctHeight>0</wp14:pctHeight>
                  </wp14:sizeRelV>
                </wp:anchor>
              </w:drawing>
            </w:r>
          </w:p>
        </w:tc>
      </w:tr>
      <w:tr w:rsidR="003855FD" w:rsidRPr="0073029B" w14:paraId="298F0DFA" w14:textId="77777777" w:rsidTr="004D2834">
        <w:trPr>
          <w:trHeight w:val="3288"/>
        </w:trPr>
        <w:tc>
          <w:tcPr>
            <w:tcW w:w="1463" w:type="pct"/>
            <w:gridSpan w:val="2"/>
            <w:shd w:val="clear" w:color="auto" w:fill="auto"/>
            <w:hideMark/>
          </w:tcPr>
          <w:p w14:paraId="5FC13BC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537" w:type="pct"/>
            <w:shd w:val="clear" w:color="auto" w:fill="auto"/>
            <w:hideMark/>
          </w:tcPr>
          <w:p w14:paraId="131F0EFF"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Peso: Peso de cada producto establecido en la Matriz de Resultados (MR) de línea base del Programa.</w:t>
            </w:r>
            <w:r w:rsidRPr="0073029B">
              <w:rPr>
                <w:rFonts w:eastAsia="Times New Roman" w:cs="Tahoma"/>
                <w:color w:val="000000"/>
                <w:szCs w:val="16"/>
                <w:lang w:eastAsia="es-CR"/>
              </w:rPr>
              <w:br/>
              <w:t>RA: Resultado anual de cada producto.</w:t>
            </w:r>
            <w:r w:rsidRPr="0073029B">
              <w:rPr>
                <w:rFonts w:eastAsia="Times New Roman" w:cs="Tahoma"/>
                <w:color w:val="000000"/>
                <w:szCs w:val="16"/>
                <w:lang w:eastAsia="es-CR"/>
              </w:rPr>
              <w:br/>
              <w:t>Meta: Meta de cada producto al final del Programa.</w:t>
            </w:r>
            <w:r w:rsidRPr="0073029B">
              <w:rPr>
                <w:rFonts w:eastAsia="Times New Roman" w:cs="Tahoma"/>
                <w:color w:val="000000"/>
                <w:szCs w:val="16"/>
                <w:lang w:eastAsia="es-CR"/>
              </w:rPr>
              <w:br/>
              <w:t>Productos establecidos en la MR:</w:t>
            </w:r>
            <w:r w:rsidRPr="0073029B">
              <w:rPr>
                <w:rFonts w:eastAsia="Times New Roman" w:cs="Tahoma"/>
                <w:color w:val="000000"/>
                <w:szCs w:val="16"/>
                <w:lang w:eastAsia="es-CR"/>
              </w:rPr>
              <w:br/>
            </w:r>
            <w:r w:rsidRPr="0073029B">
              <w:rPr>
                <w:rFonts w:eastAsia="Times New Roman" w:cs="Tahoma"/>
                <w:color w:val="000000"/>
                <w:szCs w:val="16"/>
                <w:lang w:eastAsia="es-CR"/>
              </w:rPr>
              <w:br/>
              <w:t>- Proyecto 002685 (Peso = 2,79%).</w:t>
            </w:r>
            <w:r w:rsidRPr="0073029B">
              <w:rPr>
                <w:rFonts w:eastAsia="Times New Roman" w:cs="Tahoma"/>
                <w:color w:val="000000"/>
                <w:szCs w:val="16"/>
                <w:lang w:eastAsia="es-CR"/>
              </w:rPr>
              <w:br/>
              <w:t xml:space="preserve">  o P2.1: Modelo de atención de los CCP actualizado, fortalecido, y en funcionamiento en los </w:t>
            </w:r>
            <w:proofErr w:type="spellStart"/>
            <w:r w:rsidRPr="0073029B">
              <w:rPr>
                <w:rFonts w:eastAsia="Times New Roman" w:cs="Tahoma"/>
                <w:color w:val="000000"/>
                <w:szCs w:val="16"/>
                <w:lang w:eastAsia="es-CR"/>
              </w:rPr>
              <w:t>CCPs</w:t>
            </w:r>
            <w:proofErr w:type="spellEnd"/>
            <w:r w:rsidRPr="0073029B">
              <w:rPr>
                <w:rFonts w:eastAsia="Times New Roman" w:cs="Tahoma"/>
                <w:color w:val="000000"/>
                <w:szCs w:val="16"/>
                <w:lang w:eastAsia="es-CR"/>
              </w:rPr>
              <w:t xml:space="preserve"> de la red (Meta = 1; Peso = 0,88%).</w:t>
            </w:r>
            <w:r w:rsidRPr="0073029B">
              <w:rPr>
                <w:rFonts w:eastAsia="Times New Roman" w:cs="Tahoma"/>
                <w:color w:val="000000"/>
                <w:szCs w:val="16"/>
                <w:lang w:eastAsia="es-CR"/>
              </w:rPr>
              <w:br/>
              <w:t xml:space="preserve">  o P2.2: Modelo de gestión de los CCP homologado, fortalecido y en funcionamiento en los </w:t>
            </w:r>
            <w:proofErr w:type="spellStart"/>
            <w:r w:rsidRPr="0073029B">
              <w:rPr>
                <w:rFonts w:eastAsia="Times New Roman" w:cs="Tahoma"/>
                <w:color w:val="000000"/>
                <w:szCs w:val="16"/>
                <w:lang w:eastAsia="es-CR"/>
              </w:rPr>
              <w:t>CCPs</w:t>
            </w:r>
            <w:proofErr w:type="spellEnd"/>
            <w:r w:rsidRPr="0073029B">
              <w:rPr>
                <w:rFonts w:eastAsia="Times New Roman" w:cs="Tahoma"/>
                <w:color w:val="000000"/>
                <w:szCs w:val="16"/>
                <w:lang w:eastAsia="es-CR"/>
              </w:rPr>
              <w:t xml:space="preserve"> de la red (Meta = 1; Peso = 0,45%).</w:t>
            </w:r>
            <w:r w:rsidRPr="0073029B">
              <w:rPr>
                <w:rFonts w:eastAsia="Times New Roman" w:cs="Tahoma"/>
                <w:color w:val="000000"/>
                <w:szCs w:val="16"/>
                <w:lang w:eastAsia="es-CR"/>
              </w:rPr>
              <w:br/>
              <w:t xml:space="preserve">  o P2.3: Municipalidades y grupos de sociedad civil capacitados y utilizando las nuevas competencias adquiridas en prevención de violencia (Meta = 15; Peso = 0,29%).</w:t>
            </w:r>
            <w:r w:rsidRPr="0073029B">
              <w:rPr>
                <w:rFonts w:eastAsia="Times New Roman" w:cs="Tahoma"/>
                <w:color w:val="000000"/>
                <w:szCs w:val="16"/>
                <w:lang w:eastAsia="es-CR"/>
              </w:rPr>
              <w:br/>
              <w:t xml:space="preserve">  o P2.4: Estrategia de comunicación social de los CCP, diseñada e implementada (Meta = 1; Peso = 0,29%).</w:t>
            </w:r>
            <w:r w:rsidRPr="0073029B">
              <w:rPr>
                <w:rFonts w:eastAsia="Times New Roman" w:cs="Tahoma"/>
                <w:color w:val="000000"/>
                <w:szCs w:val="16"/>
                <w:lang w:eastAsia="es-CR"/>
              </w:rPr>
              <w:br/>
              <w:t xml:space="preserve">  o P2.5: Sistema de información integrado de los CCP, desarrollado e implementado (Meta = 1; Peso = 0,29%).</w:t>
            </w:r>
            <w:r w:rsidRPr="0073029B">
              <w:rPr>
                <w:rFonts w:eastAsia="Times New Roman" w:cs="Tahoma"/>
                <w:color w:val="000000"/>
                <w:szCs w:val="16"/>
                <w:lang w:eastAsia="es-CR"/>
              </w:rPr>
              <w:br/>
              <w:t xml:space="preserve">  o P2.6: Evaluación de impacto de los CCP diseñada e implementada (Meta = 1; Peso = 0,59%).</w:t>
            </w:r>
            <w:r w:rsidRPr="0073029B">
              <w:rPr>
                <w:rFonts w:eastAsia="Times New Roman" w:cs="Tahoma"/>
                <w:color w:val="000000"/>
                <w:szCs w:val="16"/>
                <w:lang w:eastAsia="es-CR"/>
              </w:rPr>
              <w:br/>
            </w:r>
            <w:r w:rsidRPr="0073029B">
              <w:rPr>
                <w:rFonts w:eastAsia="Times New Roman" w:cs="Tahoma"/>
                <w:color w:val="000000"/>
                <w:szCs w:val="16"/>
                <w:lang w:eastAsia="es-CR"/>
              </w:rPr>
              <w:br/>
              <w:t>- Proyecto 002684 (Peso = 97,21%).</w:t>
            </w:r>
            <w:r w:rsidRPr="0073029B">
              <w:rPr>
                <w:rFonts w:eastAsia="Times New Roman" w:cs="Tahoma"/>
                <w:color w:val="000000"/>
                <w:szCs w:val="16"/>
                <w:lang w:eastAsia="es-CR"/>
              </w:rPr>
              <w:br/>
              <w:t xml:space="preserve">  o P2.7: CCP diseñados, construidos, equipados y en funcionamiento (Meta = 8; Peso =97,21%).</w:t>
            </w:r>
          </w:p>
        </w:tc>
      </w:tr>
      <w:tr w:rsidR="003855FD" w:rsidRPr="0073029B" w14:paraId="341BD9D4" w14:textId="77777777" w:rsidTr="004D2834">
        <w:trPr>
          <w:trHeight w:val="276"/>
        </w:trPr>
        <w:tc>
          <w:tcPr>
            <w:tcW w:w="1463" w:type="pct"/>
            <w:gridSpan w:val="2"/>
            <w:shd w:val="clear" w:color="auto" w:fill="auto"/>
            <w:hideMark/>
          </w:tcPr>
          <w:p w14:paraId="7017F24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37" w:type="pct"/>
            <w:shd w:val="clear" w:color="auto" w:fill="auto"/>
            <w:hideMark/>
          </w:tcPr>
          <w:p w14:paraId="61B6926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Porcentaje</w:t>
            </w:r>
          </w:p>
        </w:tc>
      </w:tr>
      <w:tr w:rsidR="003855FD" w:rsidRPr="0073029B" w14:paraId="0E8A1810" w14:textId="77777777" w:rsidTr="004D2834">
        <w:trPr>
          <w:trHeight w:val="421"/>
        </w:trPr>
        <w:tc>
          <w:tcPr>
            <w:tcW w:w="1463" w:type="pct"/>
            <w:gridSpan w:val="2"/>
            <w:shd w:val="clear" w:color="auto" w:fill="auto"/>
            <w:hideMark/>
          </w:tcPr>
          <w:p w14:paraId="2B80746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37" w:type="pct"/>
            <w:shd w:val="clear" w:color="auto" w:fill="auto"/>
            <w:hideMark/>
          </w:tcPr>
          <w:p w14:paraId="79FD8952"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 refiere al avance físico, representado en un porcentaje acumulativo, de los productos establecidos en la MR del Programa enfocado en prevenir la violencia social mediante la construcción de una cultura de paz en las personas jóvenes.</w:t>
            </w:r>
          </w:p>
        </w:tc>
      </w:tr>
      <w:tr w:rsidR="003855FD" w:rsidRPr="0073029B" w14:paraId="5BD889C9" w14:textId="77777777" w:rsidTr="004D2834">
        <w:trPr>
          <w:trHeight w:val="2520"/>
        </w:trPr>
        <w:tc>
          <w:tcPr>
            <w:tcW w:w="793" w:type="pct"/>
            <w:vMerge w:val="restart"/>
            <w:shd w:val="clear" w:color="auto" w:fill="auto"/>
            <w:hideMark/>
          </w:tcPr>
          <w:p w14:paraId="62C9C84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Desagregación</w:t>
            </w:r>
          </w:p>
        </w:tc>
        <w:tc>
          <w:tcPr>
            <w:tcW w:w="670" w:type="pct"/>
            <w:shd w:val="clear" w:color="auto" w:fill="auto"/>
            <w:hideMark/>
          </w:tcPr>
          <w:p w14:paraId="7215E51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37" w:type="pct"/>
            <w:shd w:val="clear" w:color="auto" w:fill="auto"/>
            <w:hideMark/>
          </w:tcPr>
          <w:p w14:paraId="4D01DF18"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 (P2.1, P2.2, P2.3, P2.4, P2.5 y P2.6)</w:t>
            </w:r>
            <w:r w:rsidRPr="0073029B">
              <w:rPr>
                <w:rFonts w:eastAsia="Times New Roman" w:cs="Tahoma"/>
                <w:color w:val="000000"/>
                <w:szCs w:val="16"/>
                <w:lang w:eastAsia="es-CR"/>
              </w:rPr>
              <w:br/>
              <w:t>Región Central: P2.7 [3 CCP]</w:t>
            </w:r>
            <w:r w:rsidRPr="0073029B">
              <w:rPr>
                <w:rFonts w:eastAsia="Times New Roman" w:cs="Tahoma"/>
                <w:color w:val="000000"/>
                <w:szCs w:val="16"/>
                <w:lang w:eastAsia="es-CR"/>
              </w:rPr>
              <w:br/>
              <w:t xml:space="preserve">  - San José, Goicoechea, Purral.</w:t>
            </w:r>
            <w:r w:rsidRPr="0073029B">
              <w:rPr>
                <w:rFonts w:eastAsia="Times New Roman" w:cs="Tahoma"/>
                <w:color w:val="000000"/>
                <w:szCs w:val="16"/>
                <w:lang w:eastAsia="es-CR"/>
              </w:rPr>
              <w:br/>
              <w:t xml:space="preserve">  - San José, San José, Pavas.</w:t>
            </w:r>
            <w:r w:rsidRPr="0073029B">
              <w:rPr>
                <w:rFonts w:eastAsia="Times New Roman" w:cs="Tahoma"/>
                <w:color w:val="000000"/>
                <w:szCs w:val="16"/>
                <w:lang w:eastAsia="es-CR"/>
              </w:rPr>
              <w:br/>
              <w:t xml:space="preserve">  - Alajuela, Alajuela, Santa Rita.</w:t>
            </w:r>
            <w:r w:rsidRPr="0073029B">
              <w:rPr>
                <w:rFonts w:eastAsia="Times New Roman" w:cs="Tahoma"/>
                <w:color w:val="000000"/>
                <w:szCs w:val="16"/>
                <w:lang w:eastAsia="es-CR"/>
              </w:rPr>
              <w:br/>
              <w:t>Región Brunca: P2.7 [2 CCP]</w:t>
            </w:r>
            <w:r w:rsidRPr="0073029B">
              <w:rPr>
                <w:rFonts w:eastAsia="Times New Roman" w:cs="Tahoma"/>
                <w:color w:val="000000"/>
                <w:szCs w:val="16"/>
                <w:lang w:eastAsia="es-CR"/>
              </w:rPr>
              <w:br/>
              <w:t xml:space="preserve">  - Puntarenas, Corredores, Corredor.</w:t>
            </w:r>
            <w:r w:rsidRPr="0073029B">
              <w:rPr>
                <w:rFonts w:eastAsia="Times New Roman" w:cs="Tahoma"/>
                <w:color w:val="000000"/>
                <w:szCs w:val="16"/>
                <w:lang w:eastAsia="es-CR"/>
              </w:rPr>
              <w:br/>
              <w:t xml:space="preserve">  - San José, Pérez Zeledón, San Isidro de El General.</w:t>
            </w:r>
            <w:r w:rsidRPr="0073029B">
              <w:rPr>
                <w:rFonts w:eastAsia="Times New Roman" w:cs="Tahoma"/>
                <w:color w:val="000000"/>
                <w:szCs w:val="16"/>
                <w:lang w:eastAsia="es-CR"/>
              </w:rPr>
              <w:br/>
              <w:t>Región Pacífico Central: P2.7 [1 CCP]</w:t>
            </w:r>
            <w:r w:rsidRPr="0073029B">
              <w:rPr>
                <w:rFonts w:eastAsia="Times New Roman" w:cs="Tahoma"/>
                <w:color w:val="000000"/>
                <w:szCs w:val="16"/>
                <w:lang w:eastAsia="es-CR"/>
              </w:rPr>
              <w:br/>
              <w:t xml:space="preserve">  - Puntarenas, Puntarenas, Barranca.</w:t>
            </w:r>
            <w:r w:rsidRPr="0073029B">
              <w:rPr>
                <w:rFonts w:eastAsia="Times New Roman" w:cs="Tahoma"/>
                <w:color w:val="000000"/>
                <w:szCs w:val="16"/>
                <w:lang w:eastAsia="es-CR"/>
              </w:rPr>
              <w:br/>
              <w:t>Región Chorotega: P2.7 [1 CCP]</w:t>
            </w:r>
            <w:r w:rsidRPr="0073029B">
              <w:rPr>
                <w:rFonts w:eastAsia="Times New Roman" w:cs="Tahoma"/>
                <w:color w:val="000000"/>
                <w:szCs w:val="16"/>
                <w:lang w:eastAsia="es-CR"/>
              </w:rPr>
              <w:br/>
              <w:t xml:space="preserve">  - Guanacaste, Guanacaste, Liberia.</w:t>
            </w:r>
            <w:r w:rsidRPr="0073029B">
              <w:rPr>
                <w:rFonts w:eastAsia="Times New Roman" w:cs="Tahoma"/>
                <w:color w:val="000000"/>
                <w:szCs w:val="16"/>
                <w:lang w:eastAsia="es-CR"/>
              </w:rPr>
              <w:br/>
              <w:t>Región Huetar Caribe: P2.7 [1 CCP]</w:t>
            </w:r>
            <w:r w:rsidRPr="0073029B">
              <w:rPr>
                <w:rFonts w:eastAsia="Times New Roman" w:cs="Tahoma"/>
                <w:color w:val="000000"/>
                <w:szCs w:val="16"/>
                <w:lang w:eastAsia="es-CR"/>
              </w:rPr>
              <w:br/>
              <w:t xml:space="preserve">  - Limón, Limón, Limón.</w:t>
            </w:r>
          </w:p>
        </w:tc>
      </w:tr>
      <w:tr w:rsidR="003855FD" w:rsidRPr="0073029B" w14:paraId="125BF713" w14:textId="77777777" w:rsidTr="004D2834">
        <w:trPr>
          <w:trHeight w:val="288"/>
        </w:trPr>
        <w:tc>
          <w:tcPr>
            <w:tcW w:w="793" w:type="pct"/>
            <w:vMerge/>
            <w:vAlign w:val="center"/>
            <w:hideMark/>
          </w:tcPr>
          <w:p w14:paraId="1D2ADDB5" w14:textId="77777777" w:rsidR="003855FD" w:rsidRPr="0073029B" w:rsidRDefault="003855FD" w:rsidP="004D2834">
            <w:pPr>
              <w:spacing w:after="0" w:line="240" w:lineRule="auto"/>
              <w:rPr>
                <w:rFonts w:eastAsia="Times New Roman" w:cs="Tahoma"/>
                <w:b/>
                <w:bCs/>
                <w:color w:val="000000"/>
                <w:szCs w:val="16"/>
                <w:lang w:eastAsia="es-CR"/>
              </w:rPr>
            </w:pPr>
          </w:p>
        </w:tc>
        <w:tc>
          <w:tcPr>
            <w:tcW w:w="670" w:type="pct"/>
            <w:shd w:val="clear" w:color="auto" w:fill="auto"/>
            <w:hideMark/>
          </w:tcPr>
          <w:p w14:paraId="10881BA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37" w:type="pct"/>
            <w:shd w:val="clear" w:color="auto" w:fill="auto"/>
            <w:hideMark/>
          </w:tcPr>
          <w:p w14:paraId="5098D62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Seguridad Ciudadana</w:t>
            </w:r>
          </w:p>
        </w:tc>
      </w:tr>
      <w:tr w:rsidR="003855FD" w:rsidRPr="0073029B" w14:paraId="08015474" w14:textId="77777777" w:rsidTr="004D2834">
        <w:trPr>
          <w:trHeight w:val="288"/>
        </w:trPr>
        <w:tc>
          <w:tcPr>
            <w:tcW w:w="1463" w:type="pct"/>
            <w:gridSpan w:val="2"/>
            <w:shd w:val="clear" w:color="auto" w:fill="auto"/>
            <w:hideMark/>
          </w:tcPr>
          <w:p w14:paraId="6D225F2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537" w:type="pct"/>
            <w:shd w:val="clear" w:color="auto" w:fill="auto"/>
            <w:hideMark/>
          </w:tcPr>
          <w:p w14:paraId="5AA85CE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2021: 0</w:t>
            </w:r>
          </w:p>
        </w:tc>
      </w:tr>
      <w:tr w:rsidR="003855FD" w:rsidRPr="0073029B" w14:paraId="0A9110A0" w14:textId="77777777" w:rsidTr="00FE6ADC">
        <w:trPr>
          <w:trHeight w:val="70"/>
        </w:trPr>
        <w:tc>
          <w:tcPr>
            <w:tcW w:w="1463" w:type="pct"/>
            <w:gridSpan w:val="2"/>
            <w:shd w:val="clear" w:color="auto" w:fill="auto"/>
            <w:hideMark/>
          </w:tcPr>
          <w:p w14:paraId="361198A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537" w:type="pct"/>
            <w:shd w:val="clear" w:color="auto" w:fill="auto"/>
            <w:hideMark/>
          </w:tcPr>
          <w:p w14:paraId="5C19B5C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100%</w:t>
            </w:r>
            <w:r w:rsidRPr="0073029B">
              <w:rPr>
                <w:rFonts w:eastAsia="Times New Roman" w:cs="Tahoma"/>
                <w:color w:val="000000"/>
                <w:szCs w:val="16"/>
                <w:lang w:eastAsia="es-CR"/>
              </w:rPr>
              <w:br/>
            </w:r>
            <w:r w:rsidRPr="0073029B">
              <w:rPr>
                <w:rFonts w:eastAsia="Times New Roman" w:cs="Tahoma"/>
                <w:color w:val="000000"/>
                <w:szCs w:val="16"/>
                <w:lang w:eastAsia="es-CR"/>
              </w:rPr>
              <w:br/>
            </w:r>
            <w:r w:rsidRPr="0073029B">
              <w:rPr>
                <w:rFonts w:eastAsia="Times New Roman" w:cs="Tahoma"/>
                <w:b/>
                <w:color w:val="000000"/>
                <w:szCs w:val="16"/>
                <w:lang w:eastAsia="es-CR"/>
              </w:rPr>
              <w:t>2023:</w:t>
            </w:r>
            <w:r w:rsidRPr="0073029B">
              <w:rPr>
                <w:rFonts w:eastAsia="Times New Roman" w:cs="Tahoma"/>
                <w:color w:val="000000"/>
                <w:szCs w:val="16"/>
                <w:lang w:eastAsia="es-CR"/>
              </w:rPr>
              <w:t xml:space="preserve"> 0,14%</w:t>
            </w:r>
            <w:r w:rsidRPr="0073029B">
              <w:rPr>
                <w:rFonts w:eastAsia="Times New Roman" w:cs="Tahoma"/>
                <w:color w:val="000000"/>
                <w:szCs w:val="16"/>
                <w:lang w:eastAsia="es-CR"/>
              </w:rPr>
              <w:br/>
              <w:t>- 002685: 0,14%</w:t>
            </w:r>
            <w:r w:rsidRPr="0073029B">
              <w:rPr>
                <w:rFonts w:eastAsia="Times New Roman" w:cs="Tahoma"/>
                <w:color w:val="000000"/>
                <w:szCs w:val="16"/>
                <w:lang w:eastAsia="es-CR"/>
              </w:rPr>
              <w:br/>
              <w:t xml:space="preserve">   o P1.1: 0%</w:t>
            </w:r>
            <w:r w:rsidRPr="0073029B">
              <w:rPr>
                <w:rFonts w:eastAsia="Times New Roman" w:cs="Tahoma"/>
                <w:color w:val="000000"/>
                <w:szCs w:val="16"/>
                <w:lang w:eastAsia="es-CR"/>
              </w:rPr>
              <w:br/>
              <w:t xml:space="preserve">   o P1.2: 0%</w:t>
            </w:r>
            <w:r w:rsidRPr="0073029B">
              <w:rPr>
                <w:rFonts w:eastAsia="Times New Roman" w:cs="Tahoma"/>
                <w:color w:val="000000"/>
                <w:szCs w:val="16"/>
                <w:lang w:eastAsia="es-CR"/>
              </w:rPr>
              <w:br/>
              <w:t xml:space="preserve">   o P1.3: 0,14% (4)</w:t>
            </w:r>
            <w:r w:rsidRPr="0073029B">
              <w:rPr>
                <w:rFonts w:eastAsia="Times New Roman" w:cs="Tahoma"/>
                <w:color w:val="000000"/>
                <w:szCs w:val="16"/>
                <w:lang w:eastAsia="es-CR"/>
              </w:rPr>
              <w:br/>
              <w:t xml:space="preserve">   o P1.4: 0%</w:t>
            </w:r>
            <w:r w:rsidRPr="0073029B">
              <w:rPr>
                <w:rFonts w:eastAsia="Times New Roman" w:cs="Tahoma"/>
                <w:color w:val="000000"/>
                <w:szCs w:val="16"/>
                <w:lang w:eastAsia="es-CR"/>
              </w:rPr>
              <w:br/>
              <w:t xml:space="preserve">   o P1.5: 0%</w:t>
            </w:r>
            <w:r w:rsidRPr="0073029B">
              <w:rPr>
                <w:rFonts w:eastAsia="Times New Roman" w:cs="Tahoma"/>
                <w:color w:val="000000"/>
                <w:szCs w:val="16"/>
                <w:lang w:eastAsia="es-CR"/>
              </w:rPr>
              <w:br/>
              <w:t xml:space="preserve">   o P1.6: 0%</w:t>
            </w:r>
            <w:r w:rsidRPr="0073029B">
              <w:rPr>
                <w:rFonts w:eastAsia="Times New Roman" w:cs="Tahoma"/>
                <w:color w:val="000000"/>
                <w:szCs w:val="16"/>
                <w:lang w:eastAsia="es-CR"/>
              </w:rPr>
              <w:br/>
              <w:t>- 002684: 0%</w:t>
            </w:r>
            <w:r w:rsidRPr="0073029B">
              <w:rPr>
                <w:rFonts w:eastAsia="Times New Roman" w:cs="Tahoma"/>
                <w:color w:val="000000"/>
                <w:szCs w:val="16"/>
                <w:lang w:eastAsia="es-CR"/>
              </w:rPr>
              <w:br/>
              <w:t xml:space="preserve">   o P1.7: 0%</w:t>
            </w:r>
            <w:r w:rsidRPr="0073029B">
              <w:rPr>
                <w:rFonts w:eastAsia="Times New Roman" w:cs="Tahoma"/>
                <w:color w:val="000000"/>
                <w:szCs w:val="16"/>
                <w:lang w:eastAsia="es-CR"/>
              </w:rPr>
              <w:br/>
            </w:r>
            <w:r w:rsidRPr="0073029B">
              <w:rPr>
                <w:rFonts w:eastAsia="Times New Roman" w:cs="Tahoma"/>
                <w:color w:val="000000"/>
                <w:szCs w:val="16"/>
                <w:lang w:eastAsia="es-CR"/>
              </w:rPr>
              <w:br/>
            </w:r>
            <w:r w:rsidRPr="0073029B">
              <w:rPr>
                <w:rFonts w:eastAsia="Times New Roman" w:cs="Tahoma"/>
                <w:b/>
                <w:color w:val="000000"/>
                <w:szCs w:val="16"/>
                <w:lang w:eastAsia="es-CR"/>
              </w:rPr>
              <w:t>2024:</w:t>
            </w:r>
            <w:r w:rsidRPr="0073029B">
              <w:rPr>
                <w:rFonts w:eastAsia="Times New Roman" w:cs="Tahoma"/>
                <w:color w:val="000000"/>
                <w:szCs w:val="16"/>
                <w:lang w:eastAsia="es-CR"/>
              </w:rPr>
              <w:t xml:space="preserve"> 12,95%</w:t>
            </w:r>
            <w:r w:rsidRPr="0073029B">
              <w:rPr>
                <w:rFonts w:eastAsia="Times New Roman" w:cs="Tahoma"/>
                <w:color w:val="000000"/>
                <w:szCs w:val="16"/>
                <w:lang w:eastAsia="es-CR"/>
              </w:rPr>
              <w:br/>
              <w:t>- 002685: 0,79%</w:t>
            </w:r>
            <w:r w:rsidRPr="0073029B">
              <w:rPr>
                <w:rFonts w:eastAsia="Times New Roman" w:cs="Tahoma"/>
                <w:color w:val="000000"/>
                <w:szCs w:val="16"/>
                <w:lang w:eastAsia="es-CR"/>
              </w:rPr>
              <w:br/>
              <w:t xml:space="preserve">   o P1.1: 0%</w:t>
            </w:r>
            <w:r w:rsidRPr="0073029B">
              <w:rPr>
                <w:rFonts w:eastAsia="Times New Roman" w:cs="Tahoma"/>
                <w:color w:val="000000"/>
                <w:szCs w:val="16"/>
                <w:lang w:eastAsia="es-CR"/>
              </w:rPr>
              <w:br/>
              <w:t xml:space="preserve">   o P1.2: 0%</w:t>
            </w:r>
            <w:r w:rsidRPr="0073029B">
              <w:rPr>
                <w:rFonts w:eastAsia="Times New Roman" w:cs="Tahoma"/>
                <w:color w:val="000000"/>
                <w:szCs w:val="16"/>
                <w:lang w:eastAsia="es-CR"/>
              </w:rPr>
              <w:br/>
              <w:t xml:space="preserve">   o P1.3: 0,21% (4)</w:t>
            </w:r>
            <w:r w:rsidRPr="0073029B">
              <w:rPr>
                <w:rFonts w:eastAsia="Times New Roman" w:cs="Tahoma"/>
                <w:color w:val="000000"/>
                <w:szCs w:val="16"/>
                <w:lang w:eastAsia="es-CR"/>
              </w:rPr>
              <w:br/>
              <w:t xml:space="preserve">   o P1.4: 0,29%</w:t>
            </w:r>
            <w:r w:rsidRPr="0073029B">
              <w:rPr>
                <w:rFonts w:eastAsia="Times New Roman" w:cs="Tahoma"/>
                <w:color w:val="000000"/>
                <w:szCs w:val="16"/>
                <w:lang w:eastAsia="es-CR"/>
              </w:rPr>
              <w:br/>
              <w:t xml:space="preserve">   o P1.5: 0,29%</w:t>
            </w:r>
            <w:r w:rsidRPr="0073029B">
              <w:rPr>
                <w:rFonts w:eastAsia="Times New Roman" w:cs="Tahoma"/>
                <w:color w:val="000000"/>
                <w:szCs w:val="16"/>
                <w:lang w:eastAsia="es-CR"/>
              </w:rPr>
              <w:br/>
              <w:t xml:space="preserve">   o P1.6: 0%</w:t>
            </w:r>
            <w:r w:rsidRPr="0073029B">
              <w:rPr>
                <w:rFonts w:eastAsia="Times New Roman" w:cs="Tahoma"/>
                <w:color w:val="000000"/>
                <w:szCs w:val="16"/>
                <w:lang w:eastAsia="es-CR"/>
              </w:rPr>
              <w:br/>
              <w:t>- 002684: 12,15%</w:t>
            </w:r>
            <w:r w:rsidRPr="0073029B">
              <w:rPr>
                <w:rFonts w:eastAsia="Times New Roman" w:cs="Tahoma"/>
                <w:color w:val="000000"/>
                <w:szCs w:val="16"/>
                <w:lang w:eastAsia="es-CR"/>
              </w:rPr>
              <w:br/>
              <w:t xml:space="preserve">   o P1.7: 12,15% (1 CCP ® Pacífico Central [1])</w:t>
            </w:r>
            <w:r w:rsidRPr="0073029B">
              <w:rPr>
                <w:rFonts w:eastAsia="Times New Roman" w:cs="Tahoma"/>
                <w:color w:val="000000"/>
                <w:szCs w:val="16"/>
                <w:lang w:eastAsia="es-CR"/>
              </w:rPr>
              <w:br/>
            </w:r>
            <w:r w:rsidRPr="0073029B">
              <w:rPr>
                <w:rFonts w:eastAsia="Times New Roman" w:cs="Tahoma"/>
                <w:color w:val="000000"/>
                <w:szCs w:val="16"/>
                <w:lang w:eastAsia="es-CR"/>
              </w:rPr>
              <w:br/>
            </w:r>
            <w:r w:rsidRPr="0073029B">
              <w:rPr>
                <w:rFonts w:eastAsia="Times New Roman" w:cs="Tahoma"/>
                <w:b/>
                <w:color w:val="000000"/>
                <w:szCs w:val="16"/>
                <w:lang w:eastAsia="es-CR"/>
              </w:rPr>
              <w:t>2025:</w:t>
            </w:r>
            <w:r w:rsidRPr="0073029B">
              <w:rPr>
                <w:rFonts w:eastAsia="Times New Roman" w:cs="Tahoma"/>
                <w:color w:val="000000"/>
                <w:szCs w:val="16"/>
                <w:lang w:eastAsia="es-CR"/>
              </w:rPr>
              <w:t xml:space="preserve"> 39,24%</w:t>
            </w:r>
          </w:p>
          <w:p w14:paraId="615E6F5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- 002685: 2,79%</w:t>
            </w:r>
          </w:p>
          <w:p w14:paraId="7EE2990C"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P1.1: 0,88%</w:t>
            </w:r>
          </w:p>
          <w:p w14:paraId="56165AE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P1.2: 0,45%</w:t>
            </w:r>
          </w:p>
          <w:p w14:paraId="32A9CEA5"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P1.3: 0,29% (4)</w:t>
            </w:r>
          </w:p>
          <w:p w14:paraId="3769666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P1.4: 0,29%</w:t>
            </w:r>
          </w:p>
          <w:p w14:paraId="618A9525"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P1.5: 0,29%</w:t>
            </w:r>
          </w:p>
          <w:p w14:paraId="1C88A5D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P1.6: 0,59%</w:t>
            </w:r>
          </w:p>
          <w:p w14:paraId="414E7362"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- 002684: 36,45%</w:t>
            </w:r>
          </w:p>
          <w:p w14:paraId="79AD475F"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P2.7: 36,45% (2 CCP → Pacífico Central [1]; Huetar Caribe [1]) </w:t>
            </w:r>
          </w:p>
          <w:p w14:paraId="0798006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b/>
            </w:r>
          </w:p>
          <w:p w14:paraId="6D5315E6"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b/>
                <w:color w:val="000000"/>
                <w:szCs w:val="16"/>
                <w:lang w:eastAsia="es-CR"/>
              </w:rPr>
              <w:t>2026:</w:t>
            </w:r>
            <w:r w:rsidRPr="0073029B">
              <w:rPr>
                <w:rFonts w:eastAsia="Times New Roman" w:cs="Tahoma"/>
                <w:color w:val="000000"/>
                <w:szCs w:val="16"/>
                <w:lang w:eastAsia="es-CR"/>
              </w:rPr>
              <w:t xml:space="preserve"> 100%</w:t>
            </w:r>
          </w:p>
          <w:p w14:paraId="277C0D25"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- 002685: 2,79%</w:t>
            </w:r>
          </w:p>
          <w:p w14:paraId="5D11103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P1.1: 0,88%</w:t>
            </w:r>
          </w:p>
          <w:p w14:paraId="72A71A2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P1.2: 0,45%</w:t>
            </w:r>
          </w:p>
          <w:p w14:paraId="0FA2B7F7"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P1.3: 0,29%</w:t>
            </w:r>
          </w:p>
          <w:p w14:paraId="70782CF5"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P1.4: 0,29%</w:t>
            </w:r>
          </w:p>
          <w:p w14:paraId="4D61B5F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P1.5: 0,29%</w:t>
            </w:r>
          </w:p>
          <w:p w14:paraId="388F252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P1.6: 0,59%</w:t>
            </w:r>
          </w:p>
          <w:p w14:paraId="6690B07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lastRenderedPageBreak/>
              <w:t>- 002684: 97,21%</w:t>
            </w:r>
          </w:p>
          <w:p w14:paraId="57CDBB2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   o P1.7: 97,21% (5 CCP → Brunca [1]; Central [3]; Chorotega [1])</w:t>
            </w:r>
          </w:p>
        </w:tc>
      </w:tr>
      <w:tr w:rsidR="003855FD" w:rsidRPr="0073029B" w14:paraId="4A053A0F" w14:textId="77777777" w:rsidTr="004D2834">
        <w:trPr>
          <w:trHeight w:val="540"/>
        </w:trPr>
        <w:tc>
          <w:tcPr>
            <w:tcW w:w="1463" w:type="pct"/>
            <w:gridSpan w:val="2"/>
            <w:shd w:val="clear" w:color="auto" w:fill="auto"/>
            <w:hideMark/>
          </w:tcPr>
          <w:p w14:paraId="7A37749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Periodicidad del PNDIP para el</w:t>
            </w:r>
            <w:r w:rsidRPr="0073029B">
              <w:rPr>
                <w:rFonts w:eastAsia="Times New Roman" w:cs="Tahoma"/>
                <w:b/>
                <w:bCs/>
                <w:color w:val="000000"/>
                <w:szCs w:val="16"/>
                <w:lang w:eastAsia="es-CR"/>
              </w:rPr>
              <w:br/>
              <w:t>seguimiento</w:t>
            </w:r>
          </w:p>
        </w:tc>
        <w:tc>
          <w:tcPr>
            <w:tcW w:w="3537" w:type="pct"/>
            <w:shd w:val="clear" w:color="auto" w:fill="auto"/>
            <w:hideMark/>
          </w:tcPr>
          <w:p w14:paraId="3C815E2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Semestral / Anual</w:t>
            </w:r>
          </w:p>
        </w:tc>
      </w:tr>
      <w:tr w:rsidR="003855FD" w:rsidRPr="0073029B" w14:paraId="524D9835" w14:textId="77777777" w:rsidTr="004D2834">
        <w:trPr>
          <w:trHeight w:val="667"/>
        </w:trPr>
        <w:tc>
          <w:tcPr>
            <w:tcW w:w="1463" w:type="pct"/>
            <w:gridSpan w:val="2"/>
            <w:shd w:val="clear" w:color="auto" w:fill="auto"/>
            <w:hideMark/>
          </w:tcPr>
          <w:p w14:paraId="4591270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37" w:type="pct"/>
            <w:shd w:val="clear" w:color="auto" w:fill="auto"/>
            <w:hideMark/>
          </w:tcPr>
          <w:p w14:paraId="6C92AEE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Unidad Ejecutora del Programa de Seguridad Ciudadana y Prevención de Violencia (UCPPSCPV). Coordinación General, proceso de planificación y seguimiento. Documento MS Excel “CR_L1137_Avance Indicador”. Ministerio de Justicia y Paz.</w:t>
            </w:r>
          </w:p>
        </w:tc>
      </w:tr>
      <w:tr w:rsidR="003855FD" w:rsidRPr="0073029B" w14:paraId="78127AD8" w14:textId="77777777" w:rsidTr="004D2834">
        <w:trPr>
          <w:trHeight w:val="450"/>
        </w:trPr>
        <w:tc>
          <w:tcPr>
            <w:tcW w:w="1463" w:type="pct"/>
            <w:gridSpan w:val="2"/>
            <w:vMerge w:val="restart"/>
            <w:shd w:val="clear" w:color="auto" w:fill="auto"/>
            <w:hideMark/>
          </w:tcPr>
          <w:p w14:paraId="05D5087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537" w:type="pct"/>
            <w:vMerge w:val="restart"/>
            <w:shd w:val="clear" w:color="auto" w:fill="auto"/>
            <w:hideMark/>
          </w:tcPr>
          <w:p w14:paraId="58B37814"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40E84390" w14:textId="77777777" w:rsidTr="004D2834">
        <w:trPr>
          <w:trHeight w:val="368"/>
        </w:trPr>
        <w:tc>
          <w:tcPr>
            <w:tcW w:w="1463" w:type="pct"/>
            <w:gridSpan w:val="2"/>
            <w:vMerge/>
            <w:vAlign w:val="center"/>
            <w:hideMark/>
          </w:tcPr>
          <w:p w14:paraId="77FF99AA" w14:textId="77777777" w:rsidR="003855FD" w:rsidRPr="0073029B" w:rsidRDefault="003855FD" w:rsidP="004D2834">
            <w:pPr>
              <w:spacing w:after="0" w:line="240" w:lineRule="auto"/>
              <w:rPr>
                <w:rFonts w:eastAsia="Times New Roman" w:cs="Tahoma"/>
                <w:b/>
                <w:bCs/>
                <w:color w:val="000000"/>
                <w:szCs w:val="16"/>
                <w:lang w:eastAsia="es-CR"/>
              </w:rPr>
            </w:pPr>
          </w:p>
        </w:tc>
        <w:tc>
          <w:tcPr>
            <w:tcW w:w="3537" w:type="pct"/>
            <w:vMerge/>
            <w:vAlign w:val="center"/>
            <w:hideMark/>
          </w:tcPr>
          <w:p w14:paraId="23B70FDC"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2C62E82A" w14:textId="77777777" w:rsidTr="004D2834">
        <w:trPr>
          <w:trHeight w:val="636"/>
        </w:trPr>
        <w:tc>
          <w:tcPr>
            <w:tcW w:w="1463" w:type="pct"/>
            <w:gridSpan w:val="2"/>
            <w:shd w:val="clear" w:color="auto" w:fill="auto"/>
            <w:hideMark/>
          </w:tcPr>
          <w:p w14:paraId="2974C09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37" w:type="pct"/>
            <w:shd w:val="clear" w:color="auto" w:fill="auto"/>
            <w:hideMark/>
          </w:tcPr>
          <w:p w14:paraId="7F0CE2BA"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Registro administrativo de la Gerencia del Componente 2 sobre el avance en la ejecución de los productos P2.1 a P2.6 y de la Gerencia de Infraestructura sobre el avance en la ejecución del producto P2.7.</w:t>
            </w:r>
          </w:p>
        </w:tc>
      </w:tr>
      <w:tr w:rsidR="003855FD" w:rsidRPr="0073029B" w14:paraId="26632CD2" w14:textId="77777777" w:rsidTr="004D2834">
        <w:trPr>
          <w:trHeight w:val="432"/>
        </w:trPr>
        <w:tc>
          <w:tcPr>
            <w:tcW w:w="1463" w:type="pct"/>
            <w:gridSpan w:val="2"/>
            <w:shd w:val="clear" w:color="auto" w:fill="auto"/>
            <w:hideMark/>
          </w:tcPr>
          <w:p w14:paraId="697170F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w:t>
            </w:r>
            <w:r w:rsidRPr="0073029B">
              <w:rPr>
                <w:rFonts w:eastAsia="Times New Roman" w:cs="Tahoma"/>
                <w:b/>
                <w:bCs/>
                <w:color w:val="000000"/>
                <w:szCs w:val="16"/>
                <w:lang w:eastAsia="es-CR"/>
              </w:rPr>
              <w:br/>
              <w:t>Sostenible (ODS) vinculado</w:t>
            </w:r>
          </w:p>
        </w:tc>
        <w:tc>
          <w:tcPr>
            <w:tcW w:w="3537" w:type="pct"/>
            <w:shd w:val="clear" w:color="auto" w:fill="auto"/>
            <w:hideMark/>
          </w:tcPr>
          <w:p w14:paraId="4008A307"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16: 16.6.1</w:t>
            </w:r>
          </w:p>
        </w:tc>
      </w:tr>
      <w:tr w:rsidR="003855FD" w:rsidRPr="0073029B" w14:paraId="7C3FE848" w14:textId="77777777" w:rsidTr="004D2834">
        <w:trPr>
          <w:trHeight w:val="432"/>
        </w:trPr>
        <w:tc>
          <w:tcPr>
            <w:tcW w:w="1463" w:type="pct"/>
            <w:gridSpan w:val="2"/>
            <w:shd w:val="clear" w:color="auto" w:fill="auto"/>
            <w:hideMark/>
          </w:tcPr>
          <w:p w14:paraId="45BB2FA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537" w:type="pct"/>
            <w:shd w:val="clear" w:color="auto" w:fill="auto"/>
            <w:hideMark/>
          </w:tcPr>
          <w:p w14:paraId="391F2E4C"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5A000681" w14:textId="77777777" w:rsidTr="004D2834">
        <w:trPr>
          <w:trHeight w:val="432"/>
        </w:trPr>
        <w:tc>
          <w:tcPr>
            <w:tcW w:w="1463" w:type="pct"/>
            <w:gridSpan w:val="2"/>
            <w:shd w:val="clear" w:color="auto" w:fill="auto"/>
            <w:hideMark/>
          </w:tcPr>
          <w:p w14:paraId="3ABF07B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w:t>
            </w:r>
            <w:r w:rsidRPr="0073029B">
              <w:rPr>
                <w:rFonts w:eastAsia="Times New Roman" w:cs="Tahoma"/>
                <w:b/>
                <w:bCs/>
                <w:color w:val="000000"/>
                <w:szCs w:val="16"/>
                <w:lang w:eastAsia="es-CR"/>
              </w:rPr>
              <w:br/>
              <w:t>de Montevideo</w:t>
            </w:r>
          </w:p>
        </w:tc>
        <w:tc>
          <w:tcPr>
            <w:tcW w:w="3537" w:type="pct"/>
            <w:shd w:val="clear" w:color="auto" w:fill="auto"/>
            <w:hideMark/>
          </w:tcPr>
          <w:p w14:paraId="4D97F788"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 B y G: 1, 7 y 79.</w:t>
            </w:r>
          </w:p>
        </w:tc>
      </w:tr>
      <w:tr w:rsidR="003855FD" w:rsidRPr="0073029B" w14:paraId="462B3ED5" w14:textId="77777777" w:rsidTr="004D2834">
        <w:trPr>
          <w:trHeight w:val="432"/>
        </w:trPr>
        <w:tc>
          <w:tcPr>
            <w:tcW w:w="1463" w:type="pct"/>
            <w:gridSpan w:val="2"/>
            <w:shd w:val="clear" w:color="auto" w:fill="auto"/>
            <w:hideMark/>
          </w:tcPr>
          <w:p w14:paraId="4E06647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w:t>
            </w:r>
            <w:r w:rsidRPr="0073029B">
              <w:rPr>
                <w:rFonts w:eastAsia="Times New Roman" w:cs="Tahoma"/>
                <w:b/>
                <w:bCs/>
                <w:color w:val="000000"/>
                <w:szCs w:val="16"/>
                <w:lang w:eastAsia="es-CR"/>
              </w:rPr>
              <w:br/>
              <w:t>Desarrollo</w:t>
            </w:r>
          </w:p>
        </w:tc>
        <w:tc>
          <w:tcPr>
            <w:tcW w:w="3537" w:type="pct"/>
            <w:shd w:val="clear" w:color="auto" w:fill="auto"/>
            <w:hideMark/>
          </w:tcPr>
          <w:p w14:paraId="664A299C"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PRD Central: 1.3.2, PRD Brunca: 2.6, PRD Pacífico Central: 3.3, PRD Chorotega: 4.2.2, PRD Huetar Caribe: 5.6.1.</w:t>
            </w:r>
          </w:p>
        </w:tc>
      </w:tr>
      <w:tr w:rsidR="003855FD" w:rsidRPr="0073029B" w14:paraId="636F942C" w14:textId="77777777" w:rsidTr="004D2834">
        <w:trPr>
          <w:trHeight w:val="1272"/>
        </w:trPr>
        <w:tc>
          <w:tcPr>
            <w:tcW w:w="1463" w:type="pct"/>
            <w:gridSpan w:val="2"/>
            <w:shd w:val="clear" w:color="auto" w:fill="auto"/>
            <w:hideMark/>
          </w:tcPr>
          <w:p w14:paraId="0416403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37" w:type="pct"/>
            <w:shd w:val="clear" w:color="auto" w:fill="auto"/>
            <w:hideMark/>
          </w:tcPr>
          <w:p w14:paraId="64A9E806"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El Programa de Seguridad Ciudadana y Prevención de Violencia se financia mediante el Contrato de Préstamo 4871/OC-CR del Banco Interamericano de Desarrollo y aprobado mediante la Ley 9968. El plazo máximo es de 5 años para ejecutar los proyectos desde el 17 de marzo de 2021 al 16 de marzo de 2026, en cumplimiento del Contrato de Préstamo. Las metas anuales regionalizadas para el producto 2.7 “CCP diseñados, construidos, equipados y en funcionamiento” pueden variar dependiendo al acuerdo con los municipios para operar y mantener la infraestructura por construir.</w:t>
            </w:r>
          </w:p>
          <w:p w14:paraId="653725EA" w14:textId="77777777" w:rsidR="003855FD" w:rsidRPr="0073029B" w:rsidRDefault="003855FD" w:rsidP="004D2834">
            <w:pPr>
              <w:spacing w:after="0" w:line="240" w:lineRule="auto"/>
              <w:jc w:val="both"/>
              <w:rPr>
                <w:rFonts w:eastAsia="Times New Roman" w:cs="Tahoma"/>
                <w:color w:val="000000"/>
                <w:szCs w:val="16"/>
                <w:lang w:eastAsia="es-CR"/>
              </w:rPr>
            </w:pPr>
          </w:p>
          <w:p w14:paraId="0FB665E4"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Los montos indicados por año en la Estimación Presupuestaria corresponden a la inversión acumulada del indicador.</w:t>
            </w:r>
          </w:p>
        </w:tc>
      </w:tr>
      <w:tr w:rsidR="003855FD" w:rsidRPr="0073029B" w14:paraId="6FDBE522" w14:textId="77777777" w:rsidTr="004D2834">
        <w:trPr>
          <w:trHeight w:val="732"/>
        </w:trPr>
        <w:tc>
          <w:tcPr>
            <w:tcW w:w="1463" w:type="pct"/>
            <w:gridSpan w:val="2"/>
            <w:shd w:val="clear" w:color="auto" w:fill="003A70"/>
            <w:hideMark/>
          </w:tcPr>
          <w:p w14:paraId="4A944C9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537" w:type="pct"/>
            <w:shd w:val="clear" w:color="auto" w:fill="auto"/>
            <w:hideMark/>
          </w:tcPr>
          <w:p w14:paraId="364B8A0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2024:</w:t>
            </w:r>
            <w:r w:rsidRPr="0073029B">
              <w:rPr>
                <w:rFonts w:eastAsia="Times New Roman" w:cs="Tahoma"/>
                <w:color w:val="000000"/>
                <w:szCs w:val="16"/>
                <w:lang w:eastAsia="es-CR"/>
              </w:rPr>
              <w:t xml:space="preserve"> Se modificó la estimación presupuestaria, la fuente de información y el tipo de operación estadística. Oficio de aprobación MIDEPLAN-DVM-OF-0080-2024 (rige a partir de 2024).</w:t>
            </w:r>
          </w:p>
          <w:p w14:paraId="0AFA554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2025:</w:t>
            </w:r>
            <w:r w:rsidRPr="0073029B">
              <w:rPr>
                <w:rFonts w:eastAsia="Times New Roman" w:cs="Tahoma"/>
                <w:color w:val="000000"/>
                <w:szCs w:val="16"/>
                <w:lang w:eastAsia="es-CR"/>
              </w:rPr>
              <w:t xml:space="preserve"> Se modificó la meta y la estimación presupuestaria. Oficio de aprobación CARTA-MIDEPLAN-DVM-0192-2025 (rige a partir de 2025).</w:t>
            </w:r>
          </w:p>
          <w:p w14:paraId="40A75E5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2025:</w:t>
            </w:r>
            <w:r w:rsidRPr="0073029B">
              <w:rPr>
                <w:rFonts w:eastAsia="Times New Roman" w:cs="Tahoma"/>
                <w:color w:val="000000"/>
                <w:szCs w:val="16"/>
                <w:lang w:eastAsia="es-CR"/>
              </w:rPr>
              <w:t xml:space="preserve"> Se modificó los comentarios generales. Oficio de aprobación CARTA-MIDEPLAN-DVM-0217-2025 (rige a partir de 2025).</w:t>
            </w:r>
          </w:p>
        </w:tc>
      </w:tr>
    </w:tbl>
    <w:p w14:paraId="61F230E7" w14:textId="77777777" w:rsidR="003855FD" w:rsidRPr="0073029B" w:rsidRDefault="003855FD" w:rsidP="003855FD">
      <w:pPr>
        <w:pStyle w:val="Default"/>
        <w:rPr>
          <w:rFonts w:ascii="Tahoma" w:eastAsia="Arial Narrow" w:hAnsi="Tahoma" w:cs="Tahoma"/>
          <w:sz w:val="16"/>
          <w:szCs w:val="16"/>
        </w:rPr>
      </w:pPr>
      <w:r w:rsidRPr="0073029B">
        <w:rPr>
          <w:rFonts w:ascii="Tahoma" w:eastAsia="Arial Narrow" w:hAnsi="Tahoma" w:cs="Tahoma"/>
          <w:sz w:val="16"/>
        </w:rPr>
        <w:t xml:space="preserve">Fuente: </w:t>
      </w:r>
      <w:r w:rsidRPr="0073029B">
        <w:rPr>
          <w:rFonts w:ascii="Tahoma" w:hAnsi="Tahoma" w:cs="Tahoma"/>
          <w:sz w:val="16"/>
          <w:szCs w:val="20"/>
        </w:rPr>
        <w:t>Unidad Ejecutora del Programa de Seguridad Ciudadana y Prevención de Violencia (UCPPSCPV), Ministerio de Justicia y Paz</w:t>
      </w:r>
    </w:p>
    <w:bookmarkEnd w:id="58"/>
    <w:p w14:paraId="234AE8F5" w14:textId="77777777" w:rsidR="003855FD" w:rsidRPr="0073029B" w:rsidRDefault="003855FD" w:rsidP="003855FD">
      <w:pPr>
        <w:pStyle w:val="Default"/>
        <w:rPr>
          <w:rFonts w:ascii="Tahoma" w:eastAsia="Arial Narrow" w:hAnsi="Tahoma" w:cs="Tahoma"/>
          <w:sz w:val="16"/>
          <w:szCs w:val="16"/>
        </w:rPr>
      </w:pPr>
    </w:p>
    <w:p w14:paraId="0BD7CD15" w14:textId="77777777" w:rsidR="003855FD" w:rsidRPr="0073029B" w:rsidRDefault="003855FD" w:rsidP="003855FD">
      <w:pPr>
        <w:pStyle w:val="Default"/>
        <w:rPr>
          <w:rFonts w:ascii="Tahoma" w:eastAsia="Arial Narrow" w:hAnsi="Tahoma" w:cs="Tahoma"/>
          <w:sz w:val="16"/>
          <w:szCs w:val="16"/>
        </w:rPr>
      </w:pPr>
    </w:p>
    <w:p w14:paraId="70E35C71" w14:textId="77777777" w:rsidR="003855FD" w:rsidRPr="0073029B" w:rsidRDefault="003855FD" w:rsidP="003855FD">
      <w:pPr>
        <w:pStyle w:val="Default"/>
        <w:rPr>
          <w:rFonts w:ascii="Tahoma" w:eastAsia="Arial Narrow" w:hAnsi="Tahoma" w:cs="Tahoma"/>
          <w:sz w:val="16"/>
          <w:szCs w:val="16"/>
        </w:rPr>
      </w:pPr>
    </w:p>
    <w:p w14:paraId="5D5E55A2" w14:textId="77777777" w:rsidR="003855FD" w:rsidRPr="0073029B" w:rsidRDefault="003855FD" w:rsidP="003855FD">
      <w:pPr>
        <w:pStyle w:val="Default"/>
        <w:rPr>
          <w:rFonts w:ascii="Tahoma" w:eastAsia="Arial Narrow" w:hAnsi="Tahoma" w:cs="Tahoma"/>
          <w:sz w:val="16"/>
          <w:szCs w:val="16"/>
        </w:rPr>
      </w:pPr>
    </w:p>
    <w:p w14:paraId="070807FD" w14:textId="77777777" w:rsidR="003855FD" w:rsidRPr="0073029B" w:rsidRDefault="003855FD" w:rsidP="003855FD">
      <w:pPr>
        <w:pStyle w:val="Default"/>
        <w:rPr>
          <w:rFonts w:ascii="Tahoma" w:eastAsia="Arial Narrow" w:hAnsi="Tahoma" w:cs="Tahoma"/>
          <w:sz w:val="16"/>
          <w:szCs w:val="16"/>
        </w:rPr>
      </w:pPr>
    </w:p>
    <w:p w14:paraId="5A272A1C" w14:textId="77777777" w:rsidR="003855FD" w:rsidRPr="0073029B" w:rsidRDefault="003855FD" w:rsidP="003855FD">
      <w:pPr>
        <w:pStyle w:val="Default"/>
        <w:rPr>
          <w:rFonts w:ascii="Tahoma" w:eastAsia="Arial Narrow" w:hAnsi="Tahoma" w:cs="Tahoma"/>
          <w:sz w:val="16"/>
          <w:szCs w:val="16"/>
        </w:rPr>
      </w:pPr>
    </w:p>
    <w:p w14:paraId="2B874CAA" w14:textId="77777777" w:rsidR="003855FD" w:rsidRPr="0073029B" w:rsidRDefault="003855FD" w:rsidP="003855FD">
      <w:pPr>
        <w:pStyle w:val="Default"/>
        <w:rPr>
          <w:rFonts w:ascii="Tahoma" w:eastAsia="Arial Narrow" w:hAnsi="Tahoma" w:cs="Tahoma"/>
          <w:sz w:val="16"/>
          <w:szCs w:val="16"/>
        </w:rPr>
      </w:pPr>
    </w:p>
    <w:p w14:paraId="0094DD18" w14:textId="77777777" w:rsidR="003855FD" w:rsidRPr="0073029B" w:rsidRDefault="003855FD" w:rsidP="003855FD">
      <w:pPr>
        <w:pStyle w:val="Default"/>
        <w:rPr>
          <w:rFonts w:ascii="Tahoma" w:eastAsia="Arial Narrow" w:hAnsi="Tahoma" w:cs="Tahoma"/>
          <w:sz w:val="16"/>
          <w:szCs w:val="16"/>
        </w:rPr>
      </w:pPr>
    </w:p>
    <w:p w14:paraId="69F29232" w14:textId="77777777" w:rsidR="003855FD" w:rsidRPr="0073029B" w:rsidRDefault="003855FD" w:rsidP="003855FD">
      <w:pPr>
        <w:pStyle w:val="Default"/>
        <w:rPr>
          <w:rFonts w:ascii="Tahoma" w:eastAsia="Arial Narrow" w:hAnsi="Tahoma" w:cs="Tahoma"/>
          <w:sz w:val="16"/>
          <w:szCs w:val="16"/>
        </w:rPr>
      </w:pPr>
    </w:p>
    <w:p w14:paraId="19DF7603" w14:textId="77777777" w:rsidR="003855FD" w:rsidRPr="0073029B" w:rsidRDefault="003855FD" w:rsidP="003855FD">
      <w:pPr>
        <w:pStyle w:val="Default"/>
        <w:rPr>
          <w:rFonts w:ascii="Tahoma" w:eastAsia="Arial Narrow" w:hAnsi="Tahoma" w:cs="Tahoma"/>
          <w:sz w:val="16"/>
          <w:szCs w:val="16"/>
        </w:rPr>
      </w:pPr>
    </w:p>
    <w:p w14:paraId="2CBF1AF8" w14:textId="77777777" w:rsidR="003855FD" w:rsidRPr="0073029B" w:rsidRDefault="003855FD" w:rsidP="003855FD">
      <w:pPr>
        <w:pStyle w:val="Default"/>
        <w:rPr>
          <w:rFonts w:ascii="Tahoma" w:eastAsia="Arial Narrow" w:hAnsi="Tahoma" w:cs="Tahoma"/>
          <w:sz w:val="16"/>
          <w:szCs w:val="16"/>
        </w:rPr>
      </w:pPr>
    </w:p>
    <w:p w14:paraId="3A7A79AE" w14:textId="77777777" w:rsidR="003855FD" w:rsidRPr="0073029B" w:rsidRDefault="003855FD" w:rsidP="003855FD">
      <w:pPr>
        <w:pStyle w:val="Default"/>
        <w:rPr>
          <w:rFonts w:ascii="Tahoma" w:eastAsia="Arial Narrow" w:hAnsi="Tahoma" w:cs="Tahoma"/>
          <w:sz w:val="16"/>
          <w:szCs w:val="16"/>
        </w:rPr>
      </w:pPr>
    </w:p>
    <w:p w14:paraId="079ADD09" w14:textId="77777777" w:rsidR="003855FD" w:rsidRPr="0073029B" w:rsidRDefault="003855FD" w:rsidP="003855FD">
      <w:pPr>
        <w:pStyle w:val="Default"/>
        <w:rPr>
          <w:rFonts w:ascii="Tahoma" w:eastAsia="Arial Narrow" w:hAnsi="Tahoma" w:cs="Tahoma"/>
          <w:sz w:val="16"/>
          <w:szCs w:val="16"/>
        </w:rPr>
      </w:pPr>
    </w:p>
    <w:p w14:paraId="5B1E470F" w14:textId="77777777" w:rsidR="003855FD" w:rsidRPr="0073029B" w:rsidRDefault="003855FD" w:rsidP="003855FD">
      <w:pPr>
        <w:pStyle w:val="Default"/>
        <w:rPr>
          <w:rFonts w:ascii="Tahoma" w:eastAsia="Arial Narrow" w:hAnsi="Tahoma" w:cs="Tahoma"/>
          <w:sz w:val="16"/>
          <w:szCs w:val="16"/>
        </w:rPr>
      </w:pPr>
    </w:p>
    <w:p w14:paraId="3398EB68" w14:textId="77777777" w:rsidR="003855FD" w:rsidRPr="0073029B" w:rsidRDefault="003855FD" w:rsidP="003855FD">
      <w:pPr>
        <w:pStyle w:val="Default"/>
        <w:rPr>
          <w:rFonts w:ascii="Tahoma" w:eastAsia="Arial Narrow" w:hAnsi="Tahoma" w:cs="Tahoma"/>
          <w:sz w:val="16"/>
          <w:szCs w:val="16"/>
        </w:rPr>
      </w:pPr>
    </w:p>
    <w:p w14:paraId="0C8BD046" w14:textId="77777777" w:rsidR="003855FD" w:rsidRPr="0073029B" w:rsidRDefault="003855FD" w:rsidP="003855FD">
      <w:pPr>
        <w:pStyle w:val="Default"/>
        <w:rPr>
          <w:rFonts w:ascii="Tahoma" w:eastAsia="Arial Narrow" w:hAnsi="Tahoma" w:cs="Tahoma"/>
          <w:sz w:val="16"/>
          <w:szCs w:val="16"/>
        </w:rPr>
      </w:pPr>
    </w:p>
    <w:p w14:paraId="7DEC8528" w14:textId="77777777" w:rsidR="003855FD" w:rsidRPr="0073029B" w:rsidRDefault="003855FD" w:rsidP="003855FD">
      <w:pPr>
        <w:pStyle w:val="Default"/>
        <w:spacing w:line="276" w:lineRule="auto"/>
        <w:rPr>
          <w:rFonts w:ascii="Tahoma" w:eastAsia="Times New Roman" w:hAnsi="Tahoma" w:cs="Tahoma"/>
          <w:sz w:val="16"/>
          <w:szCs w:val="16"/>
          <w:lang w:eastAsia="es-CR"/>
        </w:rPr>
      </w:pPr>
      <w:bookmarkStart w:id="61" w:name="_Hlk191374976"/>
      <w:r w:rsidRPr="0073029B">
        <w:rPr>
          <w:rFonts w:ascii="Tahoma" w:eastAsia="Arial Narrow" w:hAnsi="Tahoma" w:cs="Tahoma"/>
          <w:b/>
          <w:sz w:val="18"/>
          <w:szCs w:val="16"/>
        </w:rPr>
        <w:t>Objetivo 2.2:</w:t>
      </w:r>
      <w:r w:rsidRPr="0073029B">
        <w:rPr>
          <w:rFonts w:ascii="Tahoma" w:eastAsia="Arial Narrow" w:hAnsi="Tahoma" w:cs="Tahoma"/>
          <w:sz w:val="18"/>
          <w:szCs w:val="16"/>
        </w:rPr>
        <w:t xml:space="preserve">  </w:t>
      </w:r>
      <w:r w:rsidRPr="0073029B">
        <w:rPr>
          <w:rFonts w:ascii="Tahoma" w:eastAsia="Times New Roman" w:hAnsi="Tahoma" w:cs="Tahoma"/>
          <w:sz w:val="18"/>
          <w:szCs w:val="16"/>
          <w:lang w:eastAsia="es-CR"/>
        </w:rPr>
        <w:t>Gestionar los programas integrales de prevención de violencia del modelo de Centros Cívicos por la Paz, en coordinación con otras instituciones del Gobierno Central, los Municipios y otros actores, para el fortalecimiento de la Seguridad Ciudadana y Prevención de la Violencia.</w:t>
      </w:r>
    </w:p>
    <w:p w14:paraId="75BD4BC2" w14:textId="77777777" w:rsidR="003855FD" w:rsidRPr="0073029B" w:rsidRDefault="003855FD"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1249"/>
        <w:gridCol w:w="6595"/>
      </w:tblGrid>
      <w:tr w:rsidR="003855FD" w:rsidRPr="0073029B" w14:paraId="3EE1C341" w14:textId="77777777" w:rsidTr="004D2834">
        <w:trPr>
          <w:trHeight w:val="312"/>
          <w:tblHeader/>
        </w:trPr>
        <w:tc>
          <w:tcPr>
            <w:tcW w:w="1463" w:type="pct"/>
            <w:gridSpan w:val="2"/>
            <w:shd w:val="clear" w:color="auto" w:fill="003A70"/>
            <w:hideMark/>
          </w:tcPr>
          <w:p w14:paraId="7A1057F8"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537" w:type="pct"/>
            <w:shd w:val="clear" w:color="auto" w:fill="003A70"/>
            <w:hideMark/>
          </w:tcPr>
          <w:p w14:paraId="600BC718"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A.2.2.1</w:t>
            </w:r>
          </w:p>
        </w:tc>
      </w:tr>
      <w:tr w:rsidR="003855FD" w:rsidRPr="0073029B" w14:paraId="583276E1" w14:textId="77777777" w:rsidTr="004D2834">
        <w:trPr>
          <w:trHeight w:val="159"/>
          <w:tblHeader/>
        </w:trPr>
        <w:tc>
          <w:tcPr>
            <w:tcW w:w="1463" w:type="pct"/>
            <w:gridSpan w:val="2"/>
            <w:shd w:val="clear" w:color="000000" w:fill="D9D9D9"/>
            <w:vAlign w:val="center"/>
            <w:hideMark/>
          </w:tcPr>
          <w:p w14:paraId="760C5ECA"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37" w:type="pct"/>
            <w:shd w:val="clear" w:color="000000" w:fill="D9D9D9"/>
            <w:vAlign w:val="center"/>
            <w:hideMark/>
          </w:tcPr>
          <w:p w14:paraId="539D64D7"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36A31727" w14:textId="77777777" w:rsidTr="004D2834">
        <w:trPr>
          <w:trHeight w:val="575"/>
        </w:trPr>
        <w:tc>
          <w:tcPr>
            <w:tcW w:w="1463" w:type="pct"/>
            <w:gridSpan w:val="2"/>
            <w:shd w:val="clear" w:color="auto" w:fill="003A70"/>
            <w:hideMark/>
          </w:tcPr>
          <w:p w14:paraId="2307695C"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537" w:type="pct"/>
            <w:shd w:val="clear" w:color="auto" w:fill="003A70"/>
            <w:hideMark/>
          </w:tcPr>
          <w:p w14:paraId="6E61BD2B" w14:textId="77777777" w:rsidR="003855FD" w:rsidRPr="0073029B" w:rsidRDefault="003855FD" w:rsidP="004D2834">
            <w:pPr>
              <w:spacing w:after="0"/>
              <w:jc w:val="both"/>
              <w:rPr>
                <w:rFonts w:cs="Tahoma"/>
                <w:b/>
                <w:lang w:eastAsia="es-CR"/>
              </w:rPr>
            </w:pPr>
            <w:bookmarkStart w:id="62" w:name="_Toc202257791"/>
            <w:r w:rsidRPr="0073029B">
              <w:rPr>
                <w:rFonts w:cs="Tahoma"/>
                <w:b/>
                <w:lang w:eastAsia="es-CR"/>
              </w:rPr>
              <w:t>A.2.2.1 Porcentaje de personas entre los 10 y 17 años de edad que concluyen programas de formación integral articulados interinstitucionalmente en los Centros Cívicos por la Paz.</w:t>
            </w:r>
            <w:bookmarkEnd w:id="62"/>
          </w:p>
        </w:tc>
      </w:tr>
      <w:tr w:rsidR="003855FD" w:rsidRPr="0073029B" w14:paraId="1CFED519" w14:textId="77777777" w:rsidTr="004D2834">
        <w:trPr>
          <w:trHeight w:val="4296"/>
        </w:trPr>
        <w:tc>
          <w:tcPr>
            <w:tcW w:w="1463" w:type="pct"/>
            <w:gridSpan w:val="2"/>
            <w:shd w:val="clear" w:color="auto" w:fill="auto"/>
            <w:hideMark/>
          </w:tcPr>
          <w:p w14:paraId="29BC08D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37" w:type="pct"/>
            <w:shd w:val="clear" w:color="auto" w:fill="auto"/>
            <w:hideMark/>
          </w:tcPr>
          <w:p w14:paraId="2DAADEA4"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Los Centros Cívicos por la Paz son espacios que integran la oferta de servicios públicos a las comunidades de su área de influencia. Se ofrecen servicios integrales con enfoque de prevención y desarrollo de habilidades psicosociales a través del arte, recreación, deporte y tecnología, sobre los fenómenos sociales vinculados a la violencia y el delito, con la finalidad de constituir a las comunidades en el principal agente de prevención. Se pretende medir la cantidad de personas que se matriculan y concluyen algún programa de formación integral articulado interinstitucional en el Centro Cívico por la Paz, dado que la deserción de población vulnerable en estos procesos es relativamente alta, a pesar de los efectos positivos que estos generan en la población meta.</w:t>
            </w:r>
          </w:p>
          <w:p w14:paraId="0F2C1392"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 xml:space="preserve">Se entiende como programas de formación integral articulados interinstitucionalmente aquellos cursos o talleres que incluyen transversalización de contenidos consecuentes con los ejes descritos en el Modelo Preventivo de los Centros Cívicos por la Paz, a saber: cuido y </w:t>
            </w:r>
            <w:proofErr w:type="spellStart"/>
            <w:r w:rsidRPr="0073029B">
              <w:rPr>
                <w:rFonts w:eastAsia="Times New Roman" w:cs="Tahoma"/>
                <w:color w:val="000000"/>
                <w:szCs w:val="16"/>
                <w:lang w:eastAsia="es-CR"/>
              </w:rPr>
              <w:t>autocuido</w:t>
            </w:r>
            <w:proofErr w:type="spellEnd"/>
            <w:r w:rsidRPr="0073029B">
              <w:rPr>
                <w:rFonts w:eastAsia="Times New Roman" w:cs="Tahoma"/>
                <w:color w:val="000000"/>
                <w:szCs w:val="16"/>
                <w:lang w:eastAsia="es-CR"/>
              </w:rPr>
              <w:t>, promoción de la inclusión social, convivencia y cultura de paz.</w:t>
            </w:r>
            <w:r w:rsidRPr="0073029B">
              <w:rPr>
                <w:rFonts w:eastAsia="Times New Roman" w:cs="Tahoma"/>
                <w:color w:val="000000"/>
                <w:szCs w:val="16"/>
                <w:lang w:eastAsia="es-CR"/>
              </w:rPr>
              <w:br/>
              <w:t>Para que su abordaje sea significativo, se ha determinado que estos espacios deben estar compuestos por un mínimo de tres sesiones y un máximo de dieciséis, las cuales se desarrollan dentro de los períodos actualmente establecidos para el programa, los cuales son: verano (enero y febrero de cada año), I período regular (marzo a junio) y II período regular (julio a diciembre).</w:t>
            </w:r>
          </w:p>
          <w:p w14:paraId="28F78149"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Para lograr un abordaje adecuado, se integran los conocimientos de personas funcionarias de diferentes áreas, que de manera articulada planifican la metodología a utilizar, generando un abordaje que esté mediado tanto por la cultura, el arte, el deporte y la tecnología como por la psicología, el enfoque de juventudes, educación, terapia ocupacional, o cualquier otra de las áreas técnicas presentes en un CCP determinado.</w:t>
            </w:r>
          </w:p>
          <w:p w14:paraId="3A279EAB"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Una persona puede matricularse en dos o más programas de formación a la vez siempre y cuando no se traslapen los horarios de estos.</w:t>
            </w:r>
          </w:p>
        </w:tc>
      </w:tr>
      <w:tr w:rsidR="003855FD" w:rsidRPr="0073029B" w14:paraId="47A85E01" w14:textId="77777777" w:rsidTr="004D2834">
        <w:trPr>
          <w:trHeight w:val="705"/>
        </w:trPr>
        <w:tc>
          <w:tcPr>
            <w:tcW w:w="1463" w:type="pct"/>
            <w:gridSpan w:val="2"/>
            <w:shd w:val="clear" w:color="auto" w:fill="auto"/>
            <w:hideMark/>
          </w:tcPr>
          <w:p w14:paraId="7741E4C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537" w:type="pct"/>
            <w:shd w:val="clear" w:color="auto" w:fill="auto"/>
            <w:hideMark/>
          </w:tcPr>
          <w:p w14:paraId="35F308E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noProof/>
                <w:color w:val="000000"/>
                <w:szCs w:val="16"/>
                <w:lang w:eastAsia="es-CR"/>
              </w:rPr>
              <w:drawing>
                <wp:anchor distT="0" distB="0" distL="114300" distR="114300" simplePos="0" relativeHeight="251658244" behindDoc="0" locked="0" layoutInCell="1" allowOverlap="1" wp14:anchorId="475CEA15" wp14:editId="528CF1A8">
                  <wp:simplePos x="0" y="0"/>
                  <wp:positionH relativeFrom="column">
                    <wp:posOffset>525468</wp:posOffset>
                  </wp:positionH>
                  <wp:positionV relativeFrom="paragraph">
                    <wp:posOffset>26682</wp:posOffset>
                  </wp:positionV>
                  <wp:extent cx="931653" cy="362309"/>
                  <wp:effectExtent l="0" t="0" r="1905" b="0"/>
                  <wp:wrapNone/>
                  <wp:docPr id="10" name="Imagen 10">
                    <a:extLst xmlns:a="http://schemas.openxmlformats.org/drawingml/2006/main">
                      <a:ext uri="{FF2B5EF4-FFF2-40B4-BE49-F238E27FC236}">
                        <a16:creationId xmlns:a16="http://schemas.microsoft.com/office/drawing/2014/main" id="{A7F3EBDB-94B2-4ED0-A80C-0CC97B5751E1}"/>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7F3EBDB-94B2-4ED0-A80C-0CC97B5751E1}"/>
                              </a:ext>
                            </a:extLst>
                          </pic:cNvPr>
                          <pic:cNvPicPr>
                            <a:picLocks noChangeAspect="1"/>
                          </pic:cNvPicPr>
                        </pic:nvPicPr>
                        <pic:blipFill>
                          <a:blip r:embed="rId28"/>
                          <a:stretch>
                            <a:fillRect/>
                          </a:stretch>
                        </pic:blipFill>
                        <pic:spPr>
                          <a:xfrm>
                            <a:off x="0" y="0"/>
                            <a:ext cx="962814" cy="374427"/>
                          </a:xfrm>
                          <a:prstGeom prst="rect">
                            <a:avLst/>
                          </a:prstGeom>
                        </pic:spPr>
                      </pic:pic>
                    </a:graphicData>
                  </a:graphic>
                  <wp14:sizeRelH relativeFrom="page">
                    <wp14:pctWidth>0</wp14:pctWidth>
                  </wp14:sizeRelH>
                  <wp14:sizeRelV relativeFrom="page">
                    <wp14:pctHeight>0</wp14:pctHeight>
                  </wp14:sizeRelV>
                </wp:anchor>
              </w:drawing>
            </w:r>
          </w:p>
        </w:tc>
      </w:tr>
      <w:tr w:rsidR="003855FD" w:rsidRPr="0073029B" w14:paraId="42BBF0DF" w14:textId="77777777" w:rsidTr="004D2834">
        <w:trPr>
          <w:trHeight w:val="1584"/>
        </w:trPr>
        <w:tc>
          <w:tcPr>
            <w:tcW w:w="1463" w:type="pct"/>
            <w:gridSpan w:val="2"/>
            <w:shd w:val="clear" w:color="auto" w:fill="auto"/>
            <w:hideMark/>
          </w:tcPr>
          <w:p w14:paraId="212B240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537" w:type="pct"/>
            <w:shd w:val="clear" w:color="auto" w:fill="auto"/>
            <w:hideMark/>
          </w:tcPr>
          <w:p w14:paraId="0F120E5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noProof/>
                <w:color w:val="000000"/>
                <w:szCs w:val="16"/>
                <w:lang w:eastAsia="es-CR"/>
              </w:rPr>
              <w:drawing>
                <wp:anchor distT="0" distB="0" distL="114300" distR="114300" simplePos="0" relativeHeight="251658245" behindDoc="0" locked="0" layoutInCell="1" allowOverlap="1" wp14:anchorId="041FA58F" wp14:editId="4D1F052A">
                  <wp:simplePos x="0" y="0"/>
                  <wp:positionH relativeFrom="column">
                    <wp:posOffset>99060</wp:posOffset>
                  </wp:positionH>
                  <wp:positionV relativeFrom="paragraph">
                    <wp:posOffset>53340</wp:posOffset>
                  </wp:positionV>
                  <wp:extent cx="2324100" cy="853440"/>
                  <wp:effectExtent l="0" t="0" r="0" b="3810"/>
                  <wp:wrapNone/>
                  <wp:docPr id="9" name="Imagen 9">
                    <a:extLst xmlns:a="http://schemas.openxmlformats.org/drawingml/2006/main">
                      <a:ext uri="{FF2B5EF4-FFF2-40B4-BE49-F238E27FC236}">
                        <a16:creationId xmlns:a16="http://schemas.microsoft.com/office/drawing/2014/main" id="{75B8CFB1-DD04-4B2D-A6AD-0296D04F106A}"/>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5B8CFB1-DD04-4B2D-A6AD-0296D04F106A}"/>
                              </a:ext>
                            </a:extLst>
                          </pic:cNvPr>
                          <pic:cNvPicPr>
                            <a:picLocks noChangeAspect="1"/>
                          </pic:cNvPicPr>
                        </pic:nvPicPr>
                        <pic:blipFill>
                          <a:blip r:embed="rId29"/>
                          <a:stretch>
                            <a:fillRect/>
                          </a:stretch>
                        </pic:blipFill>
                        <pic:spPr>
                          <a:xfrm>
                            <a:off x="0" y="0"/>
                            <a:ext cx="2325872" cy="860138"/>
                          </a:xfrm>
                          <a:prstGeom prst="rect">
                            <a:avLst/>
                          </a:prstGeom>
                        </pic:spPr>
                      </pic:pic>
                    </a:graphicData>
                  </a:graphic>
                  <wp14:sizeRelH relativeFrom="page">
                    <wp14:pctWidth>0</wp14:pctWidth>
                  </wp14:sizeRelH>
                  <wp14:sizeRelV relativeFrom="page">
                    <wp14:pctHeight>0</wp14:pctHeight>
                  </wp14:sizeRelV>
                </wp:anchor>
              </w:drawing>
            </w:r>
          </w:p>
        </w:tc>
      </w:tr>
      <w:tr w:rsidR="003855FD" w:rsidRPr="0073029B" w14:paraId="3A1EEEDC" w14:textId="77777777" w:rsidTr="004D2834">
        <w:trPr>
          <w:trHeight w:val="276"/>
        </w:trPr>
        <w:tc>
          <w:tcPr>
            <w:tcW w:w="1463" w:type="pct"/>
            <w:gridSpan w:val="2"/>
            <w:shd w:val="clear" w:color="auto" w:fill="auto"/>
            <w:hideMark/>
          </w:tcPr>
          <w:p w14:paraId="3F1484B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37" w:type="pct"/>
            <w:shd w:val="clear" w:color="auto" w:fill="auto"/>
            <w:hideMark/>
          </w:tcPr>
          <w:p w14:paraId="1135057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Porcentaje</w:t>
            </w:r>
          </w:p>
        </w:tc>
      </w:tr>
      <w:tr w:rsidR="003855FD" w:rsidRPr="0073029B" w14:paraId="03F7A2FF" w14:textId="77777777" w:rsidTr="004D2834">
        <w:trPr>
          <w:trHeight w:val="288"/>
        </w:trPr>
        <w:tc>
          <w:tcPr>
            <w:tcW w:w="1463" w:type="pct"/>
            <w:gridSpan w:val="2"/>
            <w:shd w:val="clear" w:color="auto" w:fill="auto"/>
            <w:hideMark/>
          </w:tcPr>
          <w:p w14:paraId="4FBE3ED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37" w:type="pct"/>
            <w:shd w:val="clear" w:color="auto" w:fill="auto"/>
            <w:hideMark/>
          </w:tcPr>
          <w:p w14:paraId="507DC4E7"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Medir personas que concluyen programas de formación integral articulados interinstitucionalmente.</w:t>
            </w:r>
          </w:p>
        </w:tc>
      </w:tr>
      <w:tr w:rsidR="003855FD" w:rsidRPr="0073029B" w14:paraId="056027E9" w14:textId="77777777" w:rsidTr="004D2834">
        <w:trPr>
          <w:trHeight w:val="1668"/>
        </w:trPr>
        <w:tc>
          <w:tcPr>
            <w:tcW w:w="793" w:type="pct"/>
            <w:vMerge w:val="restart"/>
            <w:shd w:val="clear" w:color="auto" w:fill="auto"/>
            <w:hideMark/>
          </w:tcPr>
          <w:p w14:paraId="4E34B24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Desagregación</w:t>
            </w:r>
          </w:p>
        </w:tc>
        <w:tc>
          <w:tcPr>
            <w:tcW w:w="670" w:type="pct"/>
            <w:shd w:val="clear" w:color="auto" w:fill="auto"/>
            <w:hideMark/>
          </w:tcPr>
          <w:p w14:paraId="56A83CF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37" w:type="pct"/>
            <w:shd w:val="clear" w:color="auto" w:fill="auto"/>
            <w:hideMark/>
          </w:tcPr>
          <w:p w14:paraId="0F387EAB"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Según región y comunidad en que operan los Centros Cívicos.</w:t>
            </w:r>
            <w:r w:rsidRPr="0073029B">
              <w:rPr>
                <w:rFonts w:eastAsia="Times New Roman" w:cs="Tahoma"/>
                <w:color w:val="000000"/>
                <w:szCs w:val="16"/>
                <w:lang w:eastAsia="es-CR"/>
              </w:rPr>
              <w:br/>
              <w:t>Región Central: Desamparados, San Miguel, Los Guidos; Cartago, Carmen, San Nicolás.</w:t>
            </w:r>
            <w:r w:rsidRPr="0073029B">
              <w:rPr>
                <w:rFonts w:eastAsia="Times New Roman" w:cs="Tahoma"/>
                <w:color w:val="000000"/>
                <w:szCs w:val="16"/>
                <w:lang w:eastAsia="es-CR"/>
              </w:rPr>
              <w:br/>
              <w:t>Heredia: San Francisco.</w:t>
            </w:r>
            <w:r w:rsidRPr="0073029B">
              <w:rPr>
                <w:rFonts w:eastAsia="Times New Roman" w:cs="Tahoma"/>
                <w:color w:val="000000"/>
                <w:szCs w:val="16"/>
                <w:lang w:eastAsia="es-CR"/>
              </w:rPr>
              <w:br/>
              <w:t>Región Huetar Norte:</w:t>
            </w:r>
            <w:r w:rsidRPr="0073029B">
              <w:rPr>
                <w:rFonts w:eastAsia="Times New Roman" w:cs="Tahoma"/>
                <w:color w:val="000000"/>
                <w:szCs w:val="16"/>
                <w:lang w:eastAsia="es-CR"/>
              </w:rPr>
              <w:br/>
              <w:t>San Carlos, Aguas Zarcas.</w:t>
            </w:r>
            <w:r w:rsidRPr="0073029B">
              <w:rPr>
                <w:rFonts w:eastAsia="Times New Roman" w:cs="Tahoma"/>
                <w:color w:val="000000"/>
                <w:szCs w:val="16"/>
                <w:lang w:eastAsia="es-CR"/>
              </w:rPr>
              <w:br/>
              <w:t>Región Pacífico Central:</w:t>
            </w:r>
            <w:r w:rsidRPr="0073029B">
              <w:rPr>
                <w:rFonts w:eastAsia="Times New Roman" w:cs="Tahoma"/>
                <w:color w:val="000000"/>
                <w:szCs w:val="16"/>
                <w:lang w:eastAsia="es-CR"/>
              </w:rPr>
              <w:br/>
              <w:t>Garabito: Jacó, Tárcoles.</w:t>
            </w:r>
            <w:r w:rsidRPr="0073029B">
              <w:rPr>
                <w:rFonts w:eastAsia="Times New Roman" w:cs="Tahoma"/>
                <w:color w:val="000000"/>
                <w:szCs w:val="16"/>
                <w:lang w:eastAsia="es-CR"/>
              </w:rPr>
              <w:br/>
              <w:t>Región Huetar Caribe: Pococí: Guápiles, Cariari.</w:t>
            </w:r>
          </w:p>
        </w:tc>
      </w:tr>
      <w:tr w:rsidR="003855FD" w:rsidRPr="0073029B" w14:paraId="77B67315" w14:textId="77777777" w:rsidTr="004D2834">
        <w:trPr>
          <w:trHeight w:val="288"/>
        </w:trPr>
        <w:tc>
          <w:tcPr>
            <w:tcW w:w="793" w:type="pct"/>
            <w:vMerge/>
            <w:vAlign w:val="center"/>
            <w:hideMark/>
          </w:tcPr>
          <w:p w14:paraId="54E7DB8D" w14:textId="77777777" w:rsidR="003855FD" w:rsidRPr="0073029B" w:rsidRDefault="003855FD" w:rsidP="004D2834">
            <w:pPr>
              <w:spacing w:after="0" w:line="240" w:lineRule="auto"/>
              <w:rPr>
                <w:rFonts w:eastAsia="Times New Roman" w:cs="Tahoma"/>
                <w:b/>
                <w:bCs/>
                <w:color w:val="000000"/>
                <w:szCs w:val="16"/>
                <w:lang w:eastAsia="es-CR"/>
              </w:rPr>
            </w:pPr>
          </w:p>
        </w:tc>
        <w:tc>
          <w:tcPr>
            <w:tcW w:w="670" w:type="pct"/>
            <w:shd w:val="clear" w:color="auto" w:fill="auto"/>
            <w:hideMark/>
          </w:tcPr>
          <w:p w14:paraId="5DDE9C1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37" w:type="pct"/>
            <w:shd w:val="clear" w:color="auto" w:fill="auto"/>
            <w:hideMark/>
          </w:tcPr>
          <w:p w14:paraId="40181A5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Sexo / edad/ Ejes de trabajo: cuido y auto cuido, inclusión social, cultura.</w:t>
            </w:r>
          </w:p>
        </w:tc>
      </w:tr>
      <w:tr w:rsidR="003855FD" w:rsidRPr="0073029B" w14:paraId="40ED6224" w14:textId="77777777" w:rsidTr="004D2834">
        <w:trPr>
          <w:trHeight w:val="126"/>
        </w:trPr>
        <w:tc>
          <w:tcPr>
            <w:tcW w:w="1463" w:type="pct"/>
            <w:gridSpan w:val="2"/>
            <w:shd w:val="clear" w:color="auto" w:fill="auto"/>
            <w:hideMark/>
          </w:tcPr>
          <w:p w14:paraId="2D69EEC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537" w:type="pct"/>
            <w:shd w:val="clear" w:color="auto" w:fill="auto"/>
            <w:hideMark/>
          </w:tcPr>
          <w:p w14:paraId="53FA35C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ND</w:t>
            </w:r>
          </w:p>
        </w:tc>
      </w:tr>
      <w:tr w:rsidR="003855FD" w:rsidRPr="0073029B" w14:paraId="21224549" w14:textId="77777777" w:rsidTr="004D2834">
        <w:trPr>
          <w:trHeight w:val="1152"/>
        </w:trPr>
        <w:tc>
          <w:tcPr>
            <w:tcW w:w="1463" w:type="pct"/>
            <w:gridSpan w:val="2"/>
            <w:shd w:val="clear" w:color="auto" w:fill="auto"/>
            <w:hideMark/>
          </w:tcPr>
          <w:p w14:paraId="6DDAD2E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537" w:type="pct"/>
            <w:shd w:val="clear" w:color="auto" w:fill="auto"/>
            <w:hideMark/>
          </w:tcPr>
          <w:p w14:paraId="7EDA8B6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65,00%</w:t>
            </w:r>
            <w:r w:rsidRPr="0073029B">
              <w:rPr>
                <w:rFonts w:eastAsia="Times New Roman" w:cs="Tahoma"/>
                <w:color w:val="000000"/>
                <w:szCs w:val="16"/>
                <w:lang w:eastAsia="es-CR"/>
              </w:rPr>
              <w:br/>
            </w:r>
            <w:r w:rsidRPr="0073029B">
              <w:rPr>
                <w:rFonts w:eastAsia="Times New Roman" w:cs="Tahoma"/>
                <w:color w:val="000000"/>
                <w:szCs w:val="16"/>
                <w:lang w:eastAsia="es-CR"/>
              </w:rPr>
              <w:br/>
              <w:t>2023: 65,00%</w:t>
            </w:r>
            <w:r w:rsidRPr="0073029B">
              <w:rPr>
                <w:rFonts w:eastAsia="Times New Roman" w:cs="Tahoma"/>
                <w:color w:val="000000"/>
                <w:szCs w:val="16"/>
                <w:lang w:eastAsia="es-CR"/>
              </w:rPr>
              <w:br/>
              <w:t>2024: 65,00%</w:t>
            </w:r>
            <w:r w:rsidRPr="0073029B">
              <w:rPr>
                <w:rFonts w:eastAsia="Times New Roman" w:cs="Tahoma"/>
                <w:color w:val="000000"/>
                <w:szCs w:val="16"/>
                <w:lang w:eastAsia="es-CR"/>
              </w:rPr>
              <w:br/>
              <w:t>2025: 65,00%</w:t>
            </w:r>
            <w:r w:rsidRPr="0073029B">
              <w:rPr>
                <w:rFonts w:eastAsia="Times New Roman" w:cs="Tahoma"/>
                <w:color w:val="000000"/>
                <w:szCs w:val="16"/>
                <w:lang w:eastAsia="es-CR"/>
              </w:rPr>
              <w:br/>
              <w:t>2026: 65,00%</w:t>
            </w:r>
          </w:p>
        </w:tc>
      </w:tr>
      <w:tr w:rsidR="003855FD" w:rsidRPr="0073029B" w14:paraId="37E77C58" w14:textId="77777777" w:rsidTr="004D2834">
        <w:trPr>
          <w:trHeight w:val="420"/>
        </w:trPr>
        <w:tc>
          <w:tcPr>
            <w:tcW w:w="1463" w:type="pct"/>
            <w:gridSpan w:val="2"/>
            <w:shd w:val="clear" w:color="auto" w:fill="auto"/>
            <w:hideMark/>
          </w:tcPr>
          <w:p w14:paraId="3AC8BFC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w:t>
            </w:r>
            <w:r w:rsidRPr="0073029B">
              <w:rPr>
                <w:rFonts w:eastAsia="Times New Roman" w:cs="Tahoma"/>
                <w:b/>
                <w:bCs/>
                <w:color w:val="000000"/>
                <w:szCs w:val="16"/>
                <w:lang w:eastAsia="es-CR"/>
              </w:rPr>
              <w:br/>
              <w:t>seguimiento</w:t>
            </w:r>
          </w:p>
        </w:tc>
        <w:tc>
          <w:tcPr>
            <w:tcW w:w="3537" w:type="pct"/>
            <w:shd w:val="clear" w:color="auto" w:fill="auto"/>
            <w:hideMark/>
          </w:tcPr>
          <w:p w14:paraId="427259B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Semestral / Anual</w:t>
            </w:r>
          </w:p>
        </w:tc>
      </w:tr>
      <w:tr w:rsidR="003855FD" w:rsidRPr="0073029B" w14:paraId="2BEE6B9C" w14:textId="77777777" w:rsidTr="004D2834">
        <w:trPr>
          <w:trHeight w:val="516"/>
        </w:trPr>
        <w:tc>
          <w:tcPr>
            <w:tcW w:w="1463" w:type="pct"/>
            <w:gridSpan w:val="2"/>
            <w:shd w:val="clear" w:color="auto" w:fill="auto"/>
            <w:hideMark/>
          </w:tcPr>
          <w:p w14:paraId="469A19C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37" w:type="pct"/>
            <w:shd w:val="clear" w:color="auto" w:fill="auto"/>
            <w:hideMark/>
          </w:tcPr>
          <w:p w14:paraId="20DBD105"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Ministerio Justicia y Paz, Vice Ministerio de Paz, Dirección de Promoción de la Paz y Convivencia Ciudadana, Sistema de Información Registro y Estadísticas de Centros Cívicos.</w:t>
            </w:r>
          </w:p>
        </w:tc>
      </w:tr>
      <w:tr w:rsidR="003855FD" w:rsidRPr="0073029B" w14:paraId="40E403AF" w14:textId="77777777" w:rsidTr="004D2834">
        <w:trPr>
          <w:trHeight w:val="421"/>
        </w:trPr>
        <w:tc>
          <w:tcPr>
            <w:tcW w:w="1463" w:type="pct"/>
            <w:gridSpan w:val="2"/>
            <w:shd w:val="clear" w:color="auto" w:fill="auto"/>
            <w:hideMark/>
          </w:tcPr>
          <w:p w14:paraId="74A2FB6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537" w:type="pct"/>
            <w:shd w:val="clear" w:color="auto" w:fill="auto"/>
            <w:hideMark/>
          </w:tcPr>
          <w:p w14:paraId="2B92FC41"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088BB6E6" w14:textId="77777777" w:rsidTr="004D2834">
        <w:trPr>
          <w:trHeight w:val="397"/>
        </w:trPr>
        <w:tc>
          <w:tcPr>
            <w:tcW w:w="1463" w:type="pct"/>
            <w:gridSpan w:val="2"/>
            <w:shd w:val="clear" w:color="auto" w:fill="auto"/>
            <w:hideMark/>
          </w:tcPr>
          <w:p w14:paraId="066E21A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37" w:type="pct"/>
            <w:shd w:val="clear" w:color="auto" w:fill="auto"/>
            <w:hideMark/>
          </w:tcPr>
          <w:p w14:paraId="4A0DA54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Registro administrativo de personas que matriculan y concluyen programas de formación en los Centros Cívicos por la Paz.</w:t>
            </w:r>
          </w:p>
        </w:tc>
      </w:tr>
      <w:tr w:rsidR="003855FD" w:rsidRPr="0073029B" w14:paraId="5FCE7D3B" w14:textId="77777777" w:rsidTr="004D2834">
        <w:trPr>
          <w:trHeight w:val="432"/>
        </w:trPr>
        <w:tc>
          <w:tcPr>
            <w:tcW w:w="1463" w:type="pct"/>
            <w:gridSpan w:val="2"/>
            <w:shd w:val="clear" w:color="auto" w:fill="auto"/>
            <w:hideMark/>
          </w:tcPr>
          <w:p w14:paraId="72F437F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 Sostenible (ODS) vinculado</w:t>
            </w:r>
          </w:p>
        </w:tc>
        <w:tc>
          <w:tcPr>
            <w:tcW w:w="3537" w:type="pct"/>
            <w:shd w:val="clear" w:color="auto" w:fill="auto"/>
            <w:hideMark/>
          </w:tcPr>
          <w:p w14:paraId="1E13271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16: 16.7.2</w:t>
            </w:r>
          </w:p>
        </w:tc>
      </w:tr>
      <w:tr w:rsidR="003855FD" w:rsidRPr="0073029B" w14:paraId="661A7B25" w14:textId="77777777" w:rsidTr="004D2834">
        <w:trPr>
          <w:trHeight w:val="432"/>
        </w:trPr>
        <w:tc>
          <w:tcPr>
            <w:tcW w:w="1463" w:type="pct"/>
            <w:gridSpan w:val="2"/>
            <w:shd w:val="clear" w:color="auto" w:fill="auto"/>
            <w:hideMark/>
          </w:tcPr>
          <w:p w14:paraId="0FA73A4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537" w:type="pct"/>
            <w:shd w:val="clear" w:color="auto" w:fill="auto"/>
            <w:hideMark/>
          </w:tcPr>
          <w:p w14:paraId="1D7329E2"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768048DB" w14:textId="77777777" w:rsidTr="004D2834">
        <w:trPr>
          <w:trHeight w:val="432"/>
        </w:trPr>
        <w:tc>
          <w:tcPr>
            <w:tcW w:w="1463" w:type="pct"/>
            <w:gridSpan w:val="2"/>
            <w:shd w:val="clear" w:color="auto" w:fill="auto"/>
            <w:hideMark/>
          </w:tcPr>
          <w:p w14:paraId="20F3358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 de Montevideo</w:t>
            </w:r>
          </w:p>
        </w:tc>
        <w:tc>
          <w:tcPr>
            <w:tcW w:w="3537" w:type="pct"/>
            <w:shd w:val="clear" w:color="auto" w:fill="auto"/>
            <w:hideMark/>
          </w:tcPr>
          <w:p w14:paraId="2D5A266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 B y G: 1, 7 y 79.</w:t>
            </w:r>
          </w:p>
        </w:tc>
      </w:tr>
      <w:tr w:rsidR="003855FD" w:rsidRPr="0073029B" w14:paraId="0396A620" w14:textId="77777777" w:rsidTr="004D2834">
        <w:trPr>
          <w:trHeight w:val="432"/>
        </w:trPr>
        <w:tc>
          <w:tcPr>
            <w:tcW w:w="1463" w:type="pct"/>
            <w:gridSpan w:val="2"/>
            <w:shd w:val="clear" w:color="auto" w:fill="auto"/>
            <w:hideMark/>
          </w:tcPr>
          <w:p w14:paraId="3277FB0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 Desarrollo</w:t>
            </w:r>
          </w:p>
        </w:tc>
        <w:tc>
          <w:tcPr>
            <w:tcW w:w="3537" w:type="pct"/>
            <w:shd w:val="clear" w:color="auto" w:fill="auto"/>
            <w:hideMark/>
          </w:tcPr>
          <w:p w14:paraId="3FE65D5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w:t>
            </w:r>
          </w:p>
        </w:tc>
      </w:tr>
      <w:tr w:rsidR="003855FD" w:rsidRPr="0073029B" w14:paraId="462DD3F1" w14:textId="77777777" w:rsidTr="004D2834">
        <w:trPr>
          <w:trHeight w:val="492"/>
        </w:trPr>
        <w:tc>
          <w:tcPr>
            <w:tcW w:w="1463" w:type="pct"/>
            <w:gridSpan w:val="2"/>
            <w:shd w:val="clear" w:color="auto" w:fill="auto"/>
            <w:hideMark/>
          </w:tcPr>
          <w:p w14:paraId="456FC7D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37" w:type="pct"/>
            <w:shd w:val="clear" w:color="auto" w:fill="auto"/>
            <w:hideMark/>
          </w:tcPr>
          <w:p w14:paraId="6C52F92B"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Se contemplan las personas de los Centros Cívicos por la Paz que concluyen programas de formación integral articulados interinstitucionalmente.</w:t>
            </w:r>
          </w:p>
        </w:tc>
      </w:tr>
      <w:tr w:rsidR="003855FD" w:rsidRPr="0073029B" w14:paraId="64780C83" w14:textId="77777777" w:rsidTr="004D2834">
        <w:trPr>
          <w:trHeight w:val="1152"/>
        </w:trPr>
        <w:tc>
          <w:tcPr>
            <w:tcW w:w="1463" w:type="pct"/>
            <w:gridSpan w:val="2"/>
            <w:shd w:val="clear" w:color="auto" w:fill="003A70"/>
            <w:hideMark/>
          </w:tcPr>
          <w:p w14:paraId="67289EF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537" w:type="pct"/>
            <w:shd w:val="clear" w:color="auto" w:fill="auto"/>
            <w:hideMark/>
          </w:tcPr>
          <w:p w14:paraId="1C6832F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2023:</w:t>
            </w:r>
            <w:r w:rsidRPr="0073029B">
              <w:rPr>
                <w:rFonts w:eastAsia="Times New Roman" w:cs="Tahoma"/>
                <w:color w:val="000000"/>
                <w:szCs w:val="16"/>
                <w:lang w:eastAsia="es-CR"/>
              </w:rPr>
              <w:t xml:space="preserve"> Se modificó el nombre del indicador y la fórmula de cálculo. Oficio de aprobación MIDEPLAN-DM-OF-0820-2023 (rige a partir del segundo semestre de 2023).</w:t>
            </w:r>
            <w:r w:rsidRPr="0073029B">
              <w:rPr>
                <w:rFonts w:eastAsia="Times New Roman" w:cs="Tahoma"/>
                <w:color w:val="000000"/>
                <w:szCs w:val="16"/>
                <w:lang w:eastAsia="es-CR"/>
              </w:rPr>
              <w:br/>
            </w:r>
            <w:r w:rsidRPr="0073029B">
              <w:rPr>
                <w:rFonts w:eastAsia="Times New Roman" w:cs="Tahoma"/>
                <w:b/>
                <w:bCs/>
                <w:color w:val="000000"/>
                <w:szCs w:val="16"/>
                <w:lang w:eastAsia="es-CR"/>
              </w:rPr>
              <w:t xml:space="preserve">2024: </w:t>
            </w:r>
            <w:r w:rsidRPr="0073029B">
              <w:rPr>
                <w:rFonts w:eastAsia="Times New Roman" w:cs="Tahoma"/>
                <w:color w:val="000000"/>
                <w:szCs w:val="16"/>
                <w:lang w:eastAsia="es-CR"/>
              </w:rPr>
              <w:t>Se modificó el nombre, la definición conceptual, la fórmula de cálculo, los componentes involucrados en la fórmula del cálculo, la fuente de información y el tipo de operación estadística. Oficio de aprobación MIDEPLAN-DVM-OF-0080-2024 (rige a partir de 2024).</w:t>
            </w:r>
          </w:p>
        </w:tc>
      </w:tr>
    </w:tbl>
    <w:p w14:paraId="6C84F52C" w14:textId="77777777" w:rsidR="003855FD" w:rsidRPr="0073029B" w:rsidRDefault="003855FD" w:rsidP="003855FD">
      <w:pPr>
        <w:pStyle w:val="Default"/>
        <w:rPr>
          <w:rFonts w:ascii="Tahoma" w:hAnsi="Tahoma" w:cs="Tahoma"/>
          <w:sz w:val="16"/>
          <w:szCs w:val="20"/>
        </w:rPr>
      </w:pPr>
      <w:r w:rsidRPr="0073029B">
        <w:rPr>
          <w:rFonts w:ascii="Tahoma" w:eastAsia="Arial Narrow" w:hAnsi="Tahoma" w:cs="Tahoma"/>
          <w:sz w:val="16"/>
        </w:rPr>
        <w:t xml:space="preserve">Fuente: </w:t>
      </w:r>
      <w:r w:rsidRPr="0073029B">
        <w:rPr>
          <w:rFonts w:ascii="Tahoma" w:hAnsi="Tahoma" w:cs="Tahoma"/>
          <w:sz w:val="16"/>
          <w:szCs w:val="20"/>
        </w:rPr>
        <w:t>Dirección General de Promoción de la Paz y Convivencia Ciudadana, Ministerio de Justicia y Paz.</w:t>
      </w:r>
    </w:p>
    <w:bookmarkEnd w:id="61"/>
    <w:p w14:paraId="43BE954A" w14:textId="77777777" w:rsidR="003855FD" w:rsidRPr="0073029B" w:rsidRDefault="003855FD" w:rsidP="003855FD">
      <w:pPr>
        <w:pStyle w:val="Default"/>
        <w:rPr>
          <w:rFonts w:ascii="Tahoma" w:eastAsia="Arial Narrow" w:hAnsi="Tahoma" w:cs="Tahoma"/>
          <w:sz w:val="16"/>
          <w:szCs w:val="16"/>
        </w:rPr>
      </w:pPr>
    </w:p>
    <w:p w14:paraId="01721EEA" w14:textId="77777777" w:rsidR="003855FD" w:rsidRPr="0073029B" w:rsidRDefault="003855FD" w:rsidP="003855FD">
      <w:pPr>
        <w:pStyle w:val="Default"/>
        <w:rPr>
          <w:rFonts w:ascii="Tahoma" w:eastAsia="Arial Narrow" w:hAnsi="Tahoma" w:cs="Tahoma"/>
          <w:sz w:val="16"/>
          <w:szCs w:val="16"/>
        </w:rPr>
      </w:pPr>
    </w:p>
    <w:p w14:paraId="1218A11F" w14:textId="77777777" w:rsidR="003855FD" w:rsidRPr="0073029B" w:rsidRDefault="003855FD" w:rsidP="003855FD">
      <w:pPr>
        <w:pStyle w:val="Default"/>
        <w:rPr>
          <w:rFonts w:ascii="Tahoma" w:eastAsia="Arial Narrow" w:hAnsi="Tahoma" w:cs="Tahoma"/>
          <w:sz w:val="16"/>
          <w:szCs w:val="16"/>
        </w:rPr>
      </w:pPr>
    </w:p>
    <w:p w14:paraId="55E9D8E2" w14:textId="77777777" w:rsidR="003855FD" w:rsidRPr="0073029B" w:rsidRDefault="003855FD" w:rsidP="003855FD">
      <w:pPr>
        <w:pStyle w:val="Default"/>
        <w:rPr>
          <w:rFonts w:ascii="Tahoma" w:eastAsia="Arial Narrow" w:hAnsi="Tahoma" w:cs="Tahoma"/>
          <w:sz w:val="16"/>
          <w:szCs w:val="16"/>
        </w:rPr>
      </w:pPr>
    </w:p>
    <w:p w14:paraId="07324B68" w14:textId="77777777" w:rsidR="003855FD" w:rsidRPr="0073029B" w:rsidRDefault="003855FD" w:rsidP="003855FD">
      <w:pPr>
        <w:pStyle w:val="Default"/>
        <w:rPr>
          <w:rFonts w:ascii="Tahoma" w:eastAsia="Arial Narrow" w:hAnsi="Tahoma" w:cs="Tahoma"/>
          <w:sz w:val="16"/>
          <w:szCs w:val="16"/>
        </w:rPr>
      </w:pPr>
    </w:p>
    <w:p w14:paraId="2F8382CA" w14:textId="77777777" w:rsidR="003855FD" w:rsidRPr="0073029B" w:rsidRDefault="003855FD" w:rsidP="003855FD">
      <w:pPr>
        <w:pStyle w:val="Default"/>
        <w:rPr>
          <w:rFonts w:ascii="Tahoma" w:eastAsia="Arial Narrow" w:hAnsi="Tahoma" w:cs="Tahoma"/>
          <w:sz w:val="16"/>
          <w:szCs w:val="16"/>
        </w:rPr>
      </w:pPr>
    </w:p>
    <w:p w14:paraId="633D4716" w14:textId="77777777" w:rsidR="003855FD" w:rsidRPr="0073029B" w:rsidRDefault="003855FD" w:rsidP="003855FD">
      <w:pPr>
        <w:pStyle w:val="Default"/>
        <w:rPr>
          <w:rFonts w:ascii="Tahoma" w:eastAsia="Arial Narrow" w:hAnsi="Tahoma" w:cs="Tahoma"/>
          <w:sz w:val="16"/>
          <w:szCs w:val="16"/>
        </w:rPr>
      </w:pPr>
    </w:p>
    <w:p w14:paraId="40DD10AD" w14:textId="77777777" w:rsidR="003855FD" w:rsidRPr="0073029B" w:rsidRDefault="003855FD" w:rsidP="003855FD">
      <w:pPr>
        <w:pStyle w:val="Default"/>
        <w:rPr>
          <w:rFonts w:ascii="Tahoma" w:eastAsia="Arial Narrow" w:hAnsi="Tahoma" w:cs="Tahoma"/>
          <w:sz w:val="16"/>
          <w:szCs w:val="16"/>
        </w:rPr>
      </w:pPr>
    </w:p>
    <w:p w14:paraId="7BD59615" w14:textId="77777777" w:rsidR="003855FD" w:rsidRPr="0073029B" w:rsidRDefault="003855FD" w:rsidP="003855FD">
      <w:pPr>
        <w:pStyle w:val="Default"/>
        <w:rPr>
          <w:rFonts w:ascii="Tahoma" w:eastAsia="Arial Narrow" w:hAnsi="Tahoma" w:cs="Tahoma"/>
          <w:sz w:val="16"/>
          <w:szCs w:val="16"/>
        </w:rPr>
      </w:pPr>
    </w:p>
    <w:p w14:paraId="4BEBB0A5" w14:textId="77777777" w:rsidR="003855FD" w:rsidRPr="0073029B" w:rsidRDefault="003855FD" w:rsidP="003855FD">
      <w:pPr>
        <w:pStyle w:val="Default"/>
        <w:rPr>
          <w:rFonts w:ascii="Tahoma" w:eastAsia="Arial Narrow" w:hAnsi="Tahoma" w:cs="Tahoma"/>
          <w:sz w:val="16"/>
          <w:szCs w:val="16"/>
        </w:rPr>
      </w:pPr>
    </w:p>
    <w:p w14:paraId="2BE47E16" w14:textId="77777777" w:rsidR="003855FD" w:rsidRPr="0073029B" w:rsidRDefault="003855FD" w:rsidP="003855FD">
      <w:pPr>
        <w:pStyle w:val="Default"/>
        <w:rPr>
          <w:rFonts w:ascii="Tahoma" w:eastAsia="Arial Narrow" w:hAnsi="Tahoma" w:cs="Tahoma"/>
          <w:sz w:val="16"/>
          <w:szCs w:val="16"/>
        </w:rPr>
      </w:pPr>
    </w:p>
    <w:p w14:paraId="77C5EB27" w14:textId="77777777" w:rsidR="003855FD" w:rsidRPr="0073029B" w:rsidRDefault="003855FD" w:rsidP="003855FD">
      <w:pPr>
        <w:pStyle w:val="Default"/>
        <w:rPr>
          <w:rFonts w:ascii="Tahoma" w:eastAsia="Arial Narrow" w:hAnsi="Tahoma" w:cs="Tahoma"/>
          <w:sz w:val="16"/>
          <w:szCs w:val="16"/>
        </w:rPr>
      </w:pPr>
    </w:p>
    <w:p w14:paraId="7EDB3D36" w14:textId="77777777" w:rsidR="003855FD" w:rsidRPr="0073029B" w:rsidRDefault="003855FD" w:rsidP="003855FD">
      <w:pPr>
        <w:pStyle w:val="Default"/>
        <w:rPr>
          <w:rFonts w:ascii="Tahoma" w:eastAsia="Arial Narrow" w:hAnsi="Tahoma" w:cs="Tahoma"/>
          <w:sz w:val="16"/>
          <w:szCs w:val="16"/>
        </w:rPr>
      </w:pPr>
    </w:p>
    <w:p w14:paraId="7164DE6C" w14:textId="77777777" w:rsidR="003855FD" w:rsidRPr="0073029B" w:rsidRDefault="003855FD" w:rsidP="003855FD">
      <w:pPr>
        <w:pStyle w:val="Default"/>
        <w:spacing w:line="276" w:lineRule="auto"/>
        <w:jc w:val="both"/>
        <w:rPr>
          <w:rFonts w:ascii="Tahoma" w:eastAsia="Arial Narrow" w:hAnsi="Tahoma" w:cs="Tahoma"/>
          <w:sz w:val="18"/>
          <w:szCs w:val="16"/>
          <w:u w:val="single"/>
        </w:rPr>
      </w:pPr>
      <w:bookmarkStart w:id="63" w:name="_Hlk191369094"/>
      <w:r w:rsidRPr="0073029B">
        <w:rPr>
          <w:rFonts w:ascii="Tahoma" w:eastAsia="Arial Narrow" w:hAnsi="Tahoma" w:cs="Tahoma"/>
          <w:b/>
          <w:sz w:val="18"/>
          <w:szCs w:val="16"/>
          <w:u w:val="single"/>
        </w:rPr>
        <w:lastRenderedPageBreak/>
        <w:t>Intervención Pública 3.</w:t>
      </w:r>
      <w:r w:rsidRPr="0073029B">
        <w:rPr>
          <w:rFonts w:ascii="Tahoma" w:eastAsia="Arial Narrow" w:hAnsi="Tahoma" w:cs="Tahoma"/>
          <w:sz w:val="18"/>
          <w:szCs w:val="16"/>
          <w:u w:val="single"/>
        </w:rPr>
        <w:t xml:space="preserve"> Atención a los Flujos Migratorios Mixtos.</w:t>
      </w:r>
    </w:p>
    <w:p w14:paraId="45B5C733" w14:textId="77777777" w:rsidR="003855FD" w:rsidRPr="0073029B" w:rsidRDefault="003855FD" w:rsidP="003855FD">
      <w:pPr>
        <w:pStyle w:val="Default"/>
        <w:spacing w:line="276" w:lineRule="auto"/>
        <w:jc w:val="both"/>
        <w:rPr>
          <w:rFonts w:ascii="Tahoma" w:eastAsia="Arial Narrow" w:hAnsi="Tahoma" w:cs="Tahoma"/>
          <w:sz w:val="18"/>
          <w:szCs w:val="16"/>
          <w:u w:val="single"/>
        </w:rPr>
      </w:pPr>
    </w:p>
    <w:p w14:paraId="69A7D401" w14:textId="77777777" w:rsidR="003855FD" w:rsidRPr="0073029B" w:rsidRDefault="003855FD" w:rsidP="003855FD">
      <w:pPr>
        <w:pStyle w:val="Default"/>
        <w:spacing w:line="276" w:lineRule="auto"/>
        <w:jc w:val="both"/>
        <w:rPr>
          <w:rFonts w:ascii="Tahoma" w:eastAsia="Arial Narrow" w:hAnsi="Tahoma" w:cs="Tahoma"/>
          <w:sz w:val="18"/>
          <w:szCs w:val="16"/>
        </w:rPr>
      </w:pPr>
      <w:r w:rsidRPr="0073029B">
        <w:rPr>
          <w:rFonts w:ascii="Tahoma" w:eastAsia="Arial Narrow" w:hAnsi="Tahoma" w:cs="Tahoma"/>
          <w:b/>
          <w:sz w:val="18"/>
          <w:szCs w:val="16"/>
        </w:rPr>
        <w:t>Objetivo 3.1</w:t>
      </w:r>
      <w:r w:rsidRPr="0073029B">
        <w:rPr>
          <w:rFonts w:ascii="Tahoma" w:eastAsia="Arial Narrow" w:hAnsi="Tahoma" w:cs="Tahoma"/>
          <w:sz w:val="18"/>
          <w:szCs w:val="16"/>
        </w:rPr>
        <w:t xml:space="preserve"> Promover una migración ordenada, segura y regular, mediante la atención de los Flujos Migratorios Mixtos que ingresen o permanezcan en nuestro país.</w:t>
      </w:r>
    </w:p>
    <w:p w14:paraId="667D1A74" w14:textId="77777777" w:rsidR="003855FD" w:rsidRPr="0073029B" w:rsidRDefault="003855FD"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1249"/>
        <w:gridCol w:w="6595"/>
      </w:tblGrid>
      <w:tr w:rsidR="003855FD" w:rsidRPr="0073029B" w14:paraId="3C4BFCD7" w14:textId="77777777" w:rsidTr="004D2834">
        <w:trPr>
          <w:trHeight w:val="228"/>
          <w:tblHeader/>
        </w:trPr>
        <w:tc>
          <w:tcPr>
            <w:tcW w:w="1463" w:type="pct"/>
            <w:gridSpan w:val="2"/>
            <w:shd w:val="clear" w:color="auto" w:fill="003A70"/>
            <w:hideMark/>
          </w:tcPr>
          <w:p w14:paraId="686CCA27"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537" w:type="pct"/>
            <w:shd w:val="clear" w:color="auto" w:fill="003A70"/>
            <w:hideMark/>
          </w:tcPr>
          <w:p w14:paraId="3094173B"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A.3.1.1</w:t>
            </w:r>
          </w:p>
        </w:tc>
      </w:tr>
      <w:tr w:rsidR="003855FD" w:rsidRPr="0073029B" w14:paraId="2B899F33" w14:textId="77777777" w:rsidTr="004D2834">
        <w:trPr>
          <w:trHeight w:val="288"/>
          <w:tblHeader/>
        </w:trPr>
        <w:tc>
          <w:tcPr>
            <w:tcW w:w="1463" w:type="pct"/>
            <w:gridSpan w:val="2"/>
            <w:shd w:val="clear" w:color="000000" w:fill="D9D9D9"/>
            <w:vAlign w:val="center"/>
            <w:hideMark/>
          </w:tcPr>
          <w:p w14:paraId="4A2F85BE"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37" w:type="pct"/>
            <w:shd w:val="clear" w:color="000000" w:fill="D9D9D9"/>
            <w:vAlign w:val="center"/>
            <w:hideMark/>
          </w:tcPr>
          <w:p w14:paraId="1C2AA85C"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76E47B43" w14:textId="77777777" w:rsidTr="004D2834">
        <w:trPr>
          <w:trHeight w:val="300"/>
        </w:trPr>
        <w:tc>
          <w:tcPr>
            <w:tcW w:w="1463" w:type="pct"/>
            <w:gridSpan w:val="2"/>
            <w:shd w:val="clear" w:color="auto" w:fill="003A70"/>
            <w:hideMark/>
          </w:tcPr>
          <w:p w14:paraId="59AD2FD5"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537" w:type="pct"/>
            <w:shd w:val="clear" w:color="auto" w:fill="003A70"/>
            <w:hideMark/>
          </w:tcPr>
          <w:p w14:paraId="6410E315" w14:textId="77777777" w:rsidR="003855FD" w:rsidRPr="0073029B" w:rsidRDefault="003855FD" w:rsidP="004D2834">
            <w:pPr>
              <w:spacing w:after="0"/>
              <w:jc w:val="both"/>
              <w:rPr>
                <w:rFonts w:cs="Tahoma"/>
                <w:b/>
                <w:lang w:eastAsia="es-CR"/>
              </w:rPr>
            </w:pPr>
            <w:bookmarkStart w:id="64" w:name="_Toc202257792"/>
            <w:r w:rsidRPr="0073029B">
              <w:rPr>
                <w:rFonts w:cs="Tahoma"/>
                <w:b/>
                <w:lang w:eastAsia="es-CR"/>
              </w:rPr>
              <w:t>A.3.1.1 Porcentaje de permisos de trabajo otorgados a solicitantes de refugio.</w:t>
            </w:r>
            <w:bookmarkEnd w:id="64"/>
          </w:p>
        </w:tc>
      </w:tr>
      <w:tr w:rsidR="003855FD" w:rsidRPr="0073029B" w14:paraId="3D3318AA" w14:textId="77777777" w:rsidTr="004D2834">
        <w:trPr>
          <w:trHeight w:val="2208"/>
        </w:trPr>
        <w:tc>
          <w:tcPr>
            <w:tcW w:w="1463" w:type="pct"/>
            <w:gridSpan w:val="2"/>
            <w:shd w:val="clear" w:color="auto" w:fill="auto"/>
            <w:hideMark/>
          </w:tcPr>
          <w:p w14:paraId="3659A2F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37" w:type="pct"/>
            <w:shd w:val="clear" w:color="auto" w:fill="auto"/>
            <w:hideMark/>
          </w:tcPr>
          <w:p w14:paraId="27CEA23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El solicitante de la condición de refugiado es aquella persona que haya exteriorizado su deseo de pedir protección internacional como persona refugiada en el territorio costarricense, conforme al carácter declarativo que tiene el reconocimiento de la condición de persona refugiada de la Convención sobre el Estatuto de los Refugiados y su Protocolo, se aplicarán por igual las garantías a la persona refugiada reconocida, como al solicitante de dicho reconocimiento, quien gozará de protección contra una devolución hasta tanto no se haya determinado su solicitud, mientras se resuelve la solicitud para la condición de persona refugiada la Dirección General de Migración y Extranjería extenderá al solicitante un documento provisional provisto mediante el cual se regulariza temporalmente su situación migratoria en el país, su validez es temporal con la opción de renovación hasta tanto se resuelva su solicitud. Como medida de protección adicional al solicitante, la DGME emite un documento provisional que incorpora el derecho al trabajo. Con esta documentación podrá ejercer cualquier tipo de relación laboral remunerada o lucrativa por cuenta propia o en relación de dependencia con estricto apego a lo dispuesto en el ordenamiento jurídico vigente.</w:t>
            </w:r>
          </w:p>
        </w:tc>
      </w:tr>
      <w:tr w:rsidR="003855FD" w:rsidRPr="0073029B" w14:paraId="672DD296" w14:textId="77777777" w:rsidTr="004D2834">
        <w:trPr>
          <w:trHeight w:val="264"/>
        </w:trPr>
        <w:tc>
          <w:tcPr>
            <w:tcW w:w="1463" w:type="pct"/>
            <w:gridSpan w:val="2"/>
            <w:shd w:val="clear" w:color="auto" w:fill="auto"/>
            <w:hideMark/>
          </w:tcPr>
          <w:p w14:paraId="6C45FA1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537" w:type="pct"/>
            <w:shd w:val="clear" w:color="auto" w:fill="auto"/>
            <w:hideMark/>
          </w:tcPr>
          <w:p w14:paraId="53971C8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(Total de permisos de trabajo emitidos para solicitantes de refugio /Total de solicitudes de refugio recibidas) *100</w:t>
            </w:r>
          </w:p>
        </w:tc>
      </w:tr>
      <w:tr w:rsidR="003855FD" w:rsidRPr="0073029B" w14:paraId="183DE58B" w14:textId="77777777" w:rsidTr="004D2834">
        <w:trPr>
          <w:trHeight w:val="516"/>
        </w:trPr>
        <w:tc>
          <w:tcPr>
            <w:tcW w:w="1463" w:type="pct"/>
            <w:gridSpan w:val="2"/>
            <w:shd w:val="clear" w:color="auto" w:fill="auto"/>
            <w:hideMark/>
          </w:tcPr>
          <w:p w14:paraId="63F4AE2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537" w:type="pct"/>
            <w:shd w:val="clear" w:color="auto" w:fill="auto"/>
            <w:hideMark/>
          </w:tcPr>
          <w:p w14:paraId="3CC9794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Permisos de trabajo emitidos para solicitantes de refugio. Solicitudes de refugio recibidas</w:t>
            </w:r>
          </w:p>
        </w:tc>
      </w:tr>
      <w:tr w:rsidR="003855FD" w:rsidRPr="0073029B" w14:paraId="6A281AF4" w14:textId="77777777" w:rsidTr="004D2834">
        <w:trPr>
          <w:trHeight w:val="276"/>
        </w:trPr>
        <w:tc>
          <w:tcPr>
            <w:tcW w:w="1463" w:type="pct"/>
            <w:gridSpan w:val="2"/>
            <w:shd w:val="clear" w:color="auto" w:fill="auto"/>
            <w:hideMark/>
          </w:tcPr>
          <w:p w14:paraId="199BD60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37" w:type="pct"/>
            <w:shd w:val="clear" w:color="auto" w:fill="auto"/>
            <w:hideMark/>
          </w:tcPr>
          <w:p w14:paraId="0A6F47F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Porcentaje</w:t>
            </w:r>
          </w:p>
        </w:tc>
      </w:tr>
      <w:tr w:rsidR="003855FD" w:rsidRPr="0073029B" w14:paraId="1B98773A" w14:textId="77777777" w:rsidTr="004D2834">
        <w:trPr>
          <w:trHeight w:val="450"/>
        </w:trPr>
        <w:tc>
          <w:tcPr>
            <w:tcW w:w="1463" w:type="pct"/>
            <w:gridSpan w:val="2"/>
            <w:vMerge w:val="restart"/>
            <w:shd w:val="clear" w:color="auto" w:fill="auto"/>
            <w:hideMark/>
          </w:tcPr>
          <w:p w14:paraId="1F9EEF2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37" w:type="pct"/>
            <w:vMerge w:val="restart"/>
            <w:shd w:val="clear" w:color="auto" w:fill="auto"/>
            <w:hideMark/>
          </w:tcPr>
          <w:p w14:paraId="2F48EC2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La Dirección General de Migración y Extranjería protege el derecho al trabajo de las personas solicitantes de refugio mediante la expedición de un documento que les permite laborar por cuenta propia o en relación de dependencia.</w:t>
            </w:r>
          </w:p>
        </w:tc>
      </w:tr>
      <w:tr w:rsidR="003855FD" w:rsidRPr="0073029B" w14:paraId="4F697A94" w14:textId="77777777" w:rsidTr="004D2834">
        <w:trPr>
          <w:trHeight w:val="450"/>
        </w:trPr>
        <w:tc>
          <w:tcPr>
            <w:tcW w:w="1463" w:type="pct"/>
            <w:gridSpan w:val="2"/>
            <w:vMerge/>
            <w:vAlign w:val="center"/>
            <w:hideMark/>
          </w:tcPr>
          <w:p w14:paraId="4322A47E" w14:textId="77777777" w:rsidR="003855FD" w:rsidRPr="0073029B" w:rsidRDefault="003855FD" w:rsidP="004D2834">
            <w:pPr>
              <w:spacing w:after="0" w:line="240" w:lineRule="auto"/>
              <w:rPr>
                <w:rFonts w:eastAsia="Times New Roman" w:cs="Tahoma"/>
                <w:b/>
                <w:bCs/>
                <w:color w:val="000000"/>
                <w:szCs w:val="16"/>
                <w:lang w:eastAsia="es-CR"/>
              </w:rPr>
            </w:pPr>
          </w:p>
        </w:tc>
        <w:tc>
          <w:tcPr>
            <w:tcW w:w="3537" w:type="pct"/>
            <w:vMerge/>
            <w:vAlign w:val="center"/>
            <w:hideMark/>
          </w:tcPr>
          <w:p w14:paraId="230D46FF"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0AEBE71D" w14:textId="77777777" w:rsidTr="004D2834">
        <w:trPr>
          <w:trHeight w:val="288"/>
        </w:trPr>
        <w:tc>
          <w:tcPr>
            <w:tcW w:w="793" w:type="pct"/>
            <w:vMerge w:val="restart"/>
            <w:shd w:val="clear" w:color="auto" w:fill="auto"/>
            <w:hideMark/>
          </w:tcPr>
          <w:p w14:paraId="1C9066B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70" w:type="pct"/>
            <w:shd w:val="clear" w:color="auto" w:fill="auto"/>
            <w:hideMark/>
          </w:tcPr>
          <w:p w14:paraId="6AC16A5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37" w:type="pct"/>
            <w:shd w:val="clear" w:color="auto" w:fill="auto"/>
            <w:hideMark/>
          </w:tcPr>
          <w:p w14:paraId="1919B97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w:t>
            </w:r>
          </w:p>
        </w:tc>
      </w:tr>
      <w:tr w:rsidR="003855FD" w:rsidRPr="0073029B" w14:paraId="2DA591AA" w14:textId="77777777" w:rsidTr="004D2834">
        <w:trPr>
          <w:trHeight w:val="288"/>
        </w:trPr>
        <w:tc>
          <w:tcPr>
            <w:tcW w:w="793" w:type="pct"/>
            <w:vMerge/>
            <w:vAlign w:val="center"/>
            <w:hideMark/>
          </w:tcPr>
          <w:p w14:paraId="170E0CD1" w14:textId="77777777" w:rsidR="003855FD" w:rsidRPr="0073029B" w:rsidRDefault="003855FD" w:rsidP="004D2834">
            <w:pPr>
              <w:spacing w:after="0" w:line="240" w:lineRule="auto"/>
              <w:rPr>
                <w:rFonts w:eastAsia="Times New Roman" w:cs="Tahoma"/>
                <w:b/>
                <w:bCs/>
                <w:color w:val="000000"/>
                <w:szCs w:val="16"/>
                <w:lang w:eastAsia="es-CR"/>
              </w:rPr>
            </w:pPr>
          </w:p>
        </w:tc>
        <w:tc>
          <w:tcPr>
            <w:tcW w:w="670" w:type="pct"/>
            <w:shd w:val="clear" w:color="auto" w:fill="auto"/>
            <w:hideMark/>
          </w:tcPr>
          <w:p w14:paraId="110E7A2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37" w:type="pct"/>
            <w:shd w:val="clear" w:color="auto" w:fill="auto"/>
            <w:hideMark/>
          </w:tcPr>
          <w:p w14:paraId="7370136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Estatuto de Refugiados</w:t>
            </w:r>
          </w:p>
        </w:tc>
      </w:tr>
      <w:tr w:rsidR="003855FD" w:rsidRPr="0073029B" w14:paraId="544E6E60" w14:textId="77777777" w:rsidTr="004D2834">
        <w:trPr>
          <w:trHeight w:val="288"/>
        </w:trPr>
        <w:tc>
          <w:tcPr>
            <w:tcW w:w="1463" w:type="pct"/>
            <w:gridSpan w:val="2"/>
            <w:shd w:val="clear" w:color="auto" w:fill="auto"/>
            <w:hideMark/>
          </w:tcPr>
          <w:p w14:paraId="43D1FD9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537" w:type="pct"/>
            <w:shd w:val="clear" w:color="auto" w:fill="auto"/>
            <w:hideMark/>
          </w:tcPr>
          <w:p w14:paraId="69FAC46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80%</w:t>
            </w:r>
          </w:p>
        </w:tc>
      </w:tr>
      <w:tr w:rsidR="003855FD" w:rsidRPr="0073029B" w14:paraId="503A6A64" w14:textId="77777777" w:rsidTr="004D2834">
        <w:trPr>
          <w:trHeight w:val="1104"/>
        </w:trPr>
        <w:tc>
          <w:tcPr>
            <w:tcW w:w="1463" w:type="pct"/>
            <w:gridSpan w:val="2"/>
            <w:shd w:val="clear" w:color="auto" w:fill="auto"/>
            <w:hideMark/>
          </w:tcPr>
          <w:p w14:paraId="5FED3E7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537" w:type="pct"/>
            <w:shd w:val="clear" w:color="auto" w:fill="auto"/>
            <w:hideMark/>
          </w:tcPr>
          <w:p w14:paraId="2B82B3D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84%</w:t>
            </w:r>
            <w:r w:rsidRPr="0073029B">
              <w:rPr>
                <w:rFonts w:eastAsia="Times New Roman" w:cs="Tahoma"/>
                <w:color w:val="000000"/>
                <w:szCs w:val="16"/>
                <w:lang w:eastAsia="es-CR"/>
              </w:rPr>
              <w:br/>
            </w:r>
            <w:r w:rsidRPr="0073029B">
              <w:rPr>
                <w:rFonts w:eastAsia="Times New Roman" w:cs="Tahoma"/>
                <w:color w:val="000000"/>
                <w:szCs w:val="16"/>
                <w:lang w:eastAsia="es-CR"/>
              </w:rPr>
              <w:br/>
              <w:t>2023: 81%</w:t>
            </w:r>
            <w:r w:rsidRPr="0073029B">
              <w:rPr>
                <w:rFonts w:eastAsia="Times New Roman" w:cs="Tahoma"/>
                <w:color w:val="000000"/>
                <w:szCs w:val="16"/>
                <w:lang w:eastAsia="es-CR"/>
              </w:rPr>
              <w:br/>
              <w:t>2024: 82%</w:t>
            </w:r>
            <w:r w:rsidRPr="0073029B">
              <w:rPr>
                <w:rFonts w:eastAsia="Times New Roman" w:cs="Tahoma"/>
                <w:color w:val="000000"/>
                <w:szCs w:val="16"/>
                <w:lang w:eastAsia="es-CR"/>
              </w:rPr>
              <w:br/>
              <w:t>2025: 83%</w:t>
            </w:r>
            <w:r w:rsidRPr="0073029B">
              <w:rPr>
                <w:rFonts w:eastAsia="Times New Roman" w:cs="Tahoma"/>
                <w:color w:val="000000"/>
                <w:szCs w:val="16"/>
                <w:lang w:eastAsia="es-CR"/>
              </w:rPr>
              <w:br/>
              <w:t>2026: 84%</w:t>
            </w:r>
          </w:p>
        </w:tc>
      </w:tr>
      <w:tr w:rsidR="003855FD" w:rsidRPr="0073029B" w14:paraId="334B54BC" w14:textId="77777777" w:rsidTr="004D2834">
        <w:trPr>
          <w:trHeight w:val="420"/>
        </w:trPr>
        <w:tc>
          <w:tcPr>
            <w:tcW w:w="1463" w:type="pct"/>
            <w:gridSpan w:val="2"/>
            <w:shd w:val="clear" w:color="auto" w:fill="auto"/>
            <w:hideMark/>
          </w:tcPr>
          <w:p w14:paraId="6C10610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w:t>
            </w:r>
            <w:r w:rsidRPr="0073029B">
              <w:rPr>
                <w:rFonts w:eastAsia="Times New Roman" w:cs="Tahoma"/>
                <w:b/>
                <w:bCs/>
                <w:color w:val="000000"/>
                <w:szCs w:val="16"/>
                <w:lang w:eastAsia="es-CR"/>
              </w:rPr>
              <w:br/>
              <w:t>seguimiento</w:t>
            </w:r>
          </w:p>
        </w:tc>
        <w:tc>
          <w:tcPr>
            <w:tcW w:w="3537" w:type="pct"/>
            <w:shd w:val="clear" w:color="auto" w:fill="auto"/>
            <w:hideMark/>
          </w:tcPr>
          <w:p w14:paraId="4B666C08"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Anual</w:t>
            </w:r>
          </w:p>
        </w:tc>
      </w:tr>
      <w:tr w:rsidR="003855FD" w:rsidRPr="0073029B" w14:paraId="2099FFDA" w14:textId="77777777" w:rsidTr="004D2834">
        <w:trPr>
          <w:trHeight w:val="355"/>
        </w:trPr>
        <w:tc>
          <w:tcPr>
            <w:tcW w:w="1463" w:type="pct"/>
            <w:gridSpan w:val="2"/>
            <w:shd w:val="clear" w:color="auto" w:fill="auto"/>
            <w:hideMark/>
          </w:tcPr>
          <w:p w14:paraId="6BFE845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37" w:type="pct"/>
            <w:shd w:val="clear" w:color="auto" w:fill="auto"/>
            <w:hideMark/>
          </w:tcPr>
          <w:p w14:paraId="1E28DC5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Dirección General de Migración y Extranjería. Gestión de Extranjería. Sistema Integrado de Extranjería (SINEX).</w:t>
            </w:r>
          </w:p>
        </w:tc>
      </w:tr>
      <w:tr w:rsidR="003855FD" w:rsidRPr="0073029B" w14:paraId="48C7BBD0" w14:textId="77777777" w:rsidTr="004D2834">
        <w:trPr>
          <w:trHeight w:val="450"/>
        </w:trPr>
        <w:tc>
          <w:tcPr>
            <w:tcW w:w="1463" w:type="pct"/>
            <w:gridSpan w:val="2"/>
            <w:vMerge w:val="restart"/>
            <w:shd w:val="clear" w:color="auto" w:fill="auto"/>
            <w:hideMark/>
          </w:tcPr>
          <w:p w14:paraId="4EF9068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537" w:type="pct"/>
            <w:vMerge w:val="restart"/>
            <w:shd w:val="clear" w:color="auto" w:fill="auto"/>
            <w:hideMark/>
          </w:tcPr>
          <w:p w14:paraId="427CCCC0"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07FBCE29" w14:textId="77777777" w:rsidTr="004D2834">
        <w:trPr>
          <w:trHeight w:val="450"/>
        </w:trPr>
        <w:tc>
          <w:tcPr>
            <w:tcW w:w="1463" w:type="pct"/>
            <w:gridSpan w:val="2"/>
            <w:vMerge/>
            <w:vAlign w:val="center"/>
            <w:hideMark/>
          </w:tcPr>
          <w:p w14:paraId="317D0124" w14:textId="77777777" w:rsidR="003855FD" w:rsidRPr="0073029B" w:rsidRDefault="003855FD" w:rsidP="004D2834">
            <w:pPr>
              <w:spacing w:after="0" w:line="240" w:lineRule="auto"/>
              <w:rPr>
                <w:rFonts w:eastAsia="Times New Roman" w:cs="Tahoma"/>
                <w:b/>
                <w:bCs/>
                <w:color w:val="000000"/>
                <w:szCs w:val="16"/>
                <w:lang w:eastAsia="es-CR"/>
              </w:rPr>
            </w:pPr>
          </w:p>
        </w:tc>
        <w:tc>
          <w:tcPr>
            <w:tcW w:w="3537" w:type="pct"/>
            <w:vMerge/>
            <w:vAlign w:val="center"/>
            <w:hideMark/>
          </w:tcPr>
          <w:p w14:paraId="23A18F1B"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4A704A74" w14:textId="77777777" w:rsidTr="004D2834">
        <w:trPr>
          <w:trHeight w:val="636"/>
        </w:trPr>
        <w:tc>
          <w:tcPr>
            <w:tcW w:w="1463" w:type="pct"/>
            <w:gridSpan w:val="2"/>
            <w:shd w:val="clear" w:color="auto" w:fill="auto"/>
            <w:hideMark/>
          </w:tcPr>
          <w:p w14:paraId="6220BC1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37" w:type="pct"/>
            <w:shd w:val="clear" w:color="auto" w:fill="auto"/>
            <w:hideMark/>
          </w:tcPr>
          <w:p w14:paraId="1CDC4C85"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Registro administrativo de permisos de trabajo otorgados a solicitantes de refugio.</w:t>
            </w:r>
          </w:p>
        </w:tc>
      </w:tr>
      <w:tr w:rsidR="003855FD" w:rsidRPr="0073029B" w14:paraId="1A56FAD6" w14:textId="77777777" w:rsidTr="004D2834">
        <w:trPr>
          <w:trHeight w:val="432"/>
        </w:trPr>
        <w:tc>
          <w:tcPr>
            <w:tcW w:w="1463" w:type="pct"/>
            <w:gridSpan w:val="2"/>
            <w:shd w:val="clear" w:color="auto" w:fill="auto"/>
            <w:hideMark/>
          </w:tcPr>
          <w:p w14:paraId="50E5309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w:t>
            </w:r>
            <w:r w:rsidRPr="0073029B">
              <w:rPr>
                <w:rFonts w:eastAsia="Times New Roman" w:cs="Tahoma"/>
                <w:b/>
                <w:bCs/>
                <w:color w:val="000000"/>
                <w:szCs w:val="16"/>
                <w:lang w:eastAsia="es-CR"/>
              </w:rPr>
              <w:br/>
              <w:t>Sostenible (ODS) vinculado</w:t>
            </w:r>
          </w:p>
        </w:tc>
        <w:tc>
          <w:tcPr>
            <w:tcW w:w="3537" w:type="pct"/>
            <w:shd w:val="clear" w:color="auto" w:fill="auto"/>
            <w:hideMark/>
          </w:tcPr>
          <w:p w14:paraId="0384D7C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10: 10.7.2</w:t>
            </w:r>
          </w:p>
        </w:tc>
      </w:tr>
      <w:tr w:rsidR="003855FD" w:rsidRPr="0073029B" w14:paraId="4227DB2C" w14:textId="77777777" w:rsidTr="004D2834">
        <w:trPr>
          <w:trHeight w:val="432"/>
        </w:trPr>
        <w:tc>
          <w:tcPr>
            <w:tcW w:w="1463" w:type="pct"/>
            <w:gridSpan w:val="2"/>
            <w:shd w:val="clear" w:color="auto" w:fill="auto"/>
            <w:hideMark/>
          </w:tcPr>
          <w:p w14:paraId="15E19BC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Tipo de relación con ODS</w:t>
            </w:r>
          </w:p>
        </w:tc>
        <w:tc>
          <w:tcPr>
            <w:tcW w:w="3537" w:type="pct"/>
            <w:shd w:val="clear" w:color="auto" w:fill="auto"/>
            <w:hideMark/>
          </w:tcPr>
          <w:p w14:paraId="0B22692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(x) Directa</w:t>
            </w:r>
            <w:r w:rsidRPr="0073029B">
              <w:rPr>
                <w:rFonts w:eastAsia="Times New Roman" w:cs="Tahoma"/>
                <w:color w:val="000000"/>
                <w:szCs w:val="16"/>
                <w:lang w:eastAsia="es-CR"/>
              </w:rPr>
              <w:br/>
              <w:t>() Indirecta</w:t>
            </w:r>
          </w:p>
        </w:tc>
      </w:tr>
      <w:tr w:rsidR="003855FD" w:rsidRPr="0073029B" w14:paraId="0AB00525" w14:textId="77777777" w:rsidTr="004D2834">
        <w:trPr>
          <w:trHeight w:val="432"/>
        </w:trPr>
        <w:tc>
          <w:tcPr>
            <w:tcW w:w="1463" w:type="pct"/>
            <w:gridSpan w:val="2"/>
            <w:shd w:val="clear" w:color="auto" w:fill="auto"/>
            <w:hideMark/>
          </w:tcPr>
          <w:p w14:paraId="0E100C1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w:t>
            </w:r>
            <w:r w:rsidRPr="0073029B">
              <w:rPr>
                <w:rFonts w:eastAsia="Times New Roman" w:cs="Tahoma"/>
                <w:b/>
                <w:bCs/>
                <w:color w:val="000000"/>
                <w:szCs w:val="16"/>
                <w:lang w:eastAsia="es-CR"/>
              </w:rPr>
              <w:br/>
              <w:t>de Montevideo</w:t>
            </w:r>
          </w:p>
        </w:tc>
        <w:tc>
          <w:tcPr>
            <w:tcW w:w="3537" w:type="pct"/>
            <w:shd w:val="clear" w:color="auto" w:fill="auto"/>
            <w:hideMark/>
          </w:tcPr>
          <w:p w14:paraId="18AB9CE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F: 72</w:t>
            </w:r>
          </w:p>
        </w:tc>
      </w:tr>
      <w:tr w:rsidR="003855FD" w:rsidRPr="0073029B" w14:paraId="311CE050" w14:textId="77777777" w:rsidTr="004D2834">
        <w:trPr>
          <w:trHeight w:val="432"/>
        </w:trPr>
        <w:tc>
          <w:tcPr>
            <w:tcW w:w="1463" w:type="pct"/>
            <w:gridSpan w:val="2"/>
            <w:shd w:val="clear" w:color="auto" w:fill="auto"/>
            <w:hideMark/>
          </w:tcPr>
          <w:p w14:paraId="1DC2162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w:t>
            </w:r>
            <w:r w:rsidRPr="0073029B">
              <w:rPr>
                <w:rFonts w:eastAsia="Times New Roman" w:cs="Tahoma"/>
                <w:b/>
                <w:bCs/>
                <w:color w:val="000000"/>
                <w:szCs w:val="16"/>
                <w:lang w:eastAsia="es-CR"/>
              </w:rPr>
              <w:br/>
              <w:t>Desarrollo</w:t>
            </w:r>
          </w:p>
        </w:tc>
        <w:tc>
          <w:tcPr>
            <w:tcW w:w="3537" w:type="pct"/>
            <w:shd w:val="clear" w:color="auto" w:fill="auto"/>
            <w:hideMark/>
          </w:tcPr>
          <w:p w14:paraId="39D8114F"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No hay vinculación son metas nacionales</w:t>
            </w:r>
          </w:p>
        </w:tc>
      </w:tr>
      <w:tr w:rsidR="003855FD" w:rsidRPr="0073029B" w14:paraId="6396F6CC" w14:textId="77777777" w:rsidTr="004D2834">
        <w:trPr>
          <w:trHeight w:val="624"/>
        </w:trPr>
        <w:tc>
          <w:tcPr>
            <w:tcW w:w="1463" w:type="pct"/>
            <w:gridSpan w:val="2"/>
            <w:shd w:val="clear" w:color="auto" w:fill="auto"/>
            <w:hideMark/>
          </w:tcPr>
          <w:p w14:paraId="3BD6240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37" w:type="pct"/>
            <w:shd w:val="clear" w:color="auto" w:fill="auto"/>
            <w:hideMark/>
          </w:tcPr>
          <w:p w14:paraId="2130AE2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Costa Rica es un país de asilo, que ha visto incrementándose las solicitudes de protección internacional de manera acelerada desde el 2018, acumulando un total de 181.748 solicitudes de refugio al 30 de junio del 2022.</w:t>
            </w:r>
          </w:p>
        </w:tc>
      </w:tr>
      <w:tr w:rsidR="003855FD" w:rsidRPr="0073029B" w14:paraId="46569070" w14:textId="77777777" w:rsidTr="004D2834">
        <w:trPr>
          <w:trHeight w:val="372"/>
        </w:trPr>
        <w:tc>
          <w:tcPr>
            <w:tcW w:w="1463" w:type="pct"/>
            <w:gridSpan w:val="2"/>
            <w:shd w:val="clear" w:color="auto" w:fill="003A70"/>
            <w:hideMark/>
          </w:tcPr>
          <w:p w14:paraId="3186D30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537" w:type="pct"/>
            <w:shd w:val="clear" w:color="auto" w:fill="auto"/>
            <w:hideMark/>
          </w:tcPr>
          <w:p w14:paraId="1C5A114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b/>
                <w:color w:val="000000"/>
                <w:szCs w:val="16"/>
                <w:lang w:eastAsia="es-CR"/>
              </w:rPr>
              <w:t>2024:</w:t>
            </w:r>
            <w:r w:rsidRPr="0073029B">
              <w:rPr>
                <w:rFonts w:eastAsia="Times New Roman" w:cs="Tahoma"/>
                <w:color w:val="000000"/>
                <w:szCs w:val="16"/>
                <w:lang w:eastAsia="es-CR"/>
              </w:rPr>
              <w:t xml:space="preserve"> Se modificó el nombre, la fórmula de cálculo, los componentes involucrados en la fórmula del cálculo, la fuente de información y el tipo de operación estadística. Oficio de aprobación MIDEPLAN-DVM-OF-0502-2024 (rige a partir de 2025). </w:t>
            </w:r>
          </w:p>
        </w:tc>
      </w:tr>
    </w:tbl>
    <w:p w14:paraId="01EFEDE3" w14:textId="77777777" w:rsidR="003855FD" w:rsidRPr="0073029B" w:rsidRDefault="003855FD" w:rsidP="003855FD">
      <w:pPr>
        <w:pStyle w:val="Default"/>
        <w:rPr>
          <w:rFonts w:ascii="Tahoma" w:eastAsia="Arial Narrow" w:hAnsi="Tahoma" w:cs="Tahoma"/>
          <w:sz w:val="16"/>
          <w:szCs w:val="16"/>
        </w:rPr>
      </w:pPr>
      <w:r w:rsidRPr="0073029B">
        <w:rPr>
          <w:rFonts w:ascii="Tahoma" w:eastAsia="Arial Narrow" w:hAnsi="Tahoma" w:cs="Tahoma"/>
          <w:sz w:val="16"/>
          <w:szCs w:val="16"/>
        </w:rPr>
        <w:t>Fuente: Dirección General de Migración y Extranjería.</w:t>
      </w:r>
    </w:p>
    <w:p w14:paraId="6C85BEBB" w14:textId="77777777" w:rsidR="003855FD" w:rsidRPr="0073029B" w:rsidRDefault="003855FD" w:rsidP="003855FD">
      <w:pPr>
        <w:pStyle w:val="Default"/>
        <w:rPr>
          <w:rFonts w:ascii="Tahoma" w:eastAsia="Arial Narrow" w:hAnsi="Tahoma" w:cs="Tahoma"/>
          <w:sz w:val="16"/>
          <w:szCs w:val="16"/>
        </w:rPr>
      </w:pPr>
    </w:p>
    <w:p w14:paraId="61F2FEA6" w14:textId="77777777" w:rsidR="003855FD" w:rsidRPr="0073029B" w:rsidRDefault="003855FD"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1249"/>
        <w:gridCol w:w="6595"/>
      </w:tblGrid>
      <w:tr w:rsidR="003855FD" w:rsidRPr="0073029B" w14:paraId="33096838" w14:textId="77777777" w:rsidTr="004D2834">
        <w:trPr>
          <w:trHeight w:val="228"/>
          <w:tblHeader/>
        </w:trPr>
        <w:tc>
          <w:tcPr>
            <w:tcW w:w="1463" w:type="pct"/>
            <w:gridSpan w:val="2"/>
            <w:shd w:val="clear" w:color="auto" w:fill="003A70"/>
            <w:hideMark/>
          </w:tcPr>
          <w:p w14:paraId="42201AAB"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537" w:type="pct"/>
            <w:shd w:val="clear" w:color="auto" w:fill="003A70"/>
            <w:hideMark/>
          </w:tcPr>
          <w:p w14:paraId="64ABEF54"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A.3.1.2</w:t>
            </w:r>
          </w:p>
        </w:tc>
      </w:tr>
      <w:tr w:rsidR="003855FD" w:rsidRPr="0073029B" w14:paraId="30A5C824" w14:textId="77777777" w:rsidTr="004D2834">
        <w:trPr>
          <w:trHeight w:val="288"/>
          <w:tblHeader/>
        </w:trPr>
        <w:tc>
          <w:tcPr>
            <w:tcW w:w="1463" w:type="pct"/>
            <w:gridSpan w:val="2"/>
            <w:shd w:val="clear" w:color="000000" w:fill="D9D9D9"/>
            <w:vAlign w:val="center"/>
            <w:hideMark/>
          </w:tcPr>
          <w:p w14:paraId="0AF00C1B"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37" w:type="pct"/>
            <w:shd w:val="clear" w:color="000000" w:fill="D9D9D9"/>
            <w:vAlign w:val="center"/>
            <w:hideMark/>
          </w:tcPr>
          <w:p w14:paraId="360D2088"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3C9CD820" w14:textId="77777777" w:rsidTr="004D2834">
        <w:trPr>
          <w:trHeight w:val="480"/>
        </w:trPr>
        <w:tc>
          <w:tcPr>
            <w:tcW w:w="1463" w:type="pct"/>
            <w:gridSpan w:val="2"/>
            <w:shd w:val="clear" w:color="auto" w:fill="003A70"/>
            <w:hideMark/>
          </w:tcPr>
          <w:p w14:paraId="62FBD289"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537" w:type="pct"/>
            <w:shd w:val="clear" w:color="auto" w:fill="003A70"/>
            <w:hideMark/>
          </w:tcPr>
          <w:p w14:paraId="71C8BA38" w14:textId="77777777" w:rsidR="003855FD" w:rsidRPr="0073029B" w:rsidRDefault="003855FD" w:rsidP="004D2834">
            <w:pPr>
              <w:spacing w:after="0"/>
              <w:jc w:val="both"/>
              <w:rPr>
                <w:rFonts w:cs="Tahoma"/>
                <w:b/>
                <w:lang w:eastAsia="es-CR"/>
              </w:rPr>
            </w:pPr>
            <w:bookmarkStart w:id="65" w:name="_Toc202257793"/>
            <w:r w:rsidRPr="0073029B">
              <w:rPr>
                <w:rFonts w:cs="Tahoma"/>
                <w:b/>
                <w:lang w:eastAsia="es-CR"/>
              </w:rPr>
              <w:t xml:space="preserve">A.3.1.2 Porcentaje acumulado de personas extranjeras que tramitan regularización migratoria a través del programa </w:t>
            </w:r>
            <w:proofErr w:type="spellStart"/>
            <w:r w:rsidRPr="0073029B">
              <w:rPr>
                <w:rFonts w:cs="Tahoma"/>
                <w:b/>
                <w:lang w:eastAsia="es-CR"/>
              </w:rPr>
              <w:t>migramóvil</w:t>
            </w:r>
            <w:proofErr w:type="spellEnd"/>
            <w:r w:rsidRPr="0073029B">
              <w:rPr>
                <w:rFonts w:cs="Tahoma"/>
                <w:b/>
                <w:lang w:eastAsia="es-CR"/>
              </w:rPr>
              <w:t>.</w:t>
            </w:r>
            <w:bookmarkEnd w:id="65"/>
          </w:p>
        </w:tc>
      </w:tr>
      <w:tr w:rsidR="003855FD" w:rsidRPr="0073029B" w14:paraId="1E7EA3E8" w14:textId="77777777" w:rsidTr="004D2834">
        <w:trPr>
          <w:trHeight w:val="1391"/>
        </w:trPr>
        <w:tc>
          <w:tcPr>
            <w:tcW w:w="1463" w:type="pct"/>
            <w:gridSpan w:val="2"/>
            <w:shd w:val="clear" w:color="auto" w:fill="auto"/>
            <w:hideMark/>
          </w:tcPr>
          <w:p w14:paraId="681C1F1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37" w:type="pct"/>
            <w:shd w:val="clear" w:color="auto" w:fill="auto"/>
            <w:hideMark/>
          </w:tcPr>
          <w:p w14:paraId="19E26D0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El programa </w:t>
            </w:r>
            <w:proofErr w:type="spellStart"/>
            <w:r w:rsidRPr="0073029B">
              <w:rPr>
                <w:rFonts w:eastAsia="Times New Roman" w:cs="Tahoma"/>
                <w:color w:val="000000"/>
                <w:szCs w:val="16"/>
                <w:lang w:eastAsia="es-CR"/>
              </w:rPr>
              <w:t>Migramóvil</w:t>
            </w:r>
            <w:proofErr w:type="spellEnd"/>
            <w:r w:rsidRPr="0073029B">
              <w:rPr>
                <w:rFonts w:eastAsia="Times New Roman" w:cs="Tahoma"/>
                <w:color w:val="000000"/>
                <w:szCs w:val="16"/>
                <w:lang w:eastAsia="es-CR"/>
              </w:rPr>
              <w:t xml:space="preserve"> es un programa que facilita el acercamiento entre la Dirección General de Migración y las personas que requieren los servicios migratorios. En este sentido, las </w:t>
            </w:r>
            <w:proofErr w:type="spellStart"/>
            <w:r w:rsidRPr="0073029B">
              <w:rPr>
                <w:rFonts w:eastAsia="Times New Roman" w:cs="Tahoma"/>
                <w:color w:val="000000"/>
                <w:szCs w:val="16"/>
                <w:lang w:eastAsia="es-CR"/>
              </w:rPr>
              <w:t>Migramoviles</w:t>
            </w:r>
            <w:proofErr w:type="spellEnd"/>
            <w:r w:rsidRPr="0073029B">
              <w:rPr>
                <w:rFonts w:eastAsia="Times New Roman" w:cs="Tahoma"/>
                <w:color w:val="000000"/>
                <w:szCs w:val="16"/>
                <w:lang w:eastAsia="es-CR"/>
              </w:rPr>
              <w:t xml:space="preserve"> se realizan en cualquier parte del país, especialmente, donde hay concentración de población extranjera para promover su regularización en zonas de difícil acceso y muy alejadas. El proceso de la regularización migratoria incluye el primer abordaje que efectúa el funcionario de la Dirección de Integración y Desarrollo Humano hasta la emisión de la resolución de la solicitud presentada por la persona migrante. La regularización migratoria implica que la persona extranjera ostenta una condición migratoria legal en el país para permanecer en él, ya sea de manera permanente o temporal, según las categorías migratorias que el país tiene para tal efecto y el cumplimiento de requisitos y condiciones. La regularización migratoria es el primer paso para acceder a todos los servicios que brinda el Estado y facilitar los procesos de integración e inclusión en la sociedad.</w:t>
            </w:r>
          </w:p>
        </w:tc>
      </w:tr>
      <w:tr w:rsidR="003855FD" w:rsidRPr="0073029B" w14:paraId="5BB26030" w14:textId="77777777" w:rsidTr="004D2834">
        <w:trPr>
          <w:trHeight w:val="552"/>
        </w:trPr>
        <w:tc>
          <w:tcPr>
            <w:tcW w:w="1463" w:type="pct"/>
            <w:gridSpan w:val="2"/>
            <w:shd w:val="clear" w:color="auto" w:fill="auto"/>
            <w:hideMark/>
          </w:tcPr>
          <w:p w14:paraId="7B62AB6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537" w:type="pct"/>
            <w:shd w:val="clear" w:color="auto" w:fill="auto"/>
            <w:hideMark/>
          </w:tcPr>
          <w:p w14:paraId="1355BFF9"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(Sumatoria de personas extranjeras que tramitan regularización a través del programa </w:t>
            </w:r>
            <w:proofErr w:type="spellStart"/>
            <w:r w:rsidRPr="0073029B">
              <w:rPr>
                <w:rFonts w:eastAsia="Times New Roman" w:cs="Tahoma"/>
                <w:color w:val="000000"/>
                <w:szCs w:val="16"/>
                <w:lang w:eastAsia="es-CR"/>
              </w:rPr>
              <w:t>migramóvil</w:t>
            </w:r>
            <w:proofErr w:type="spellEnd"/>
            <w:r w:rsidRPr="0073029B">
              <w:rPr>
                <w:rFonts w:eastAsia="Times New Roman" w:cs="Tahoma"/>
                <w:color w:val="000000"/>
                <w:szCs w:val="16"/>
                <w:lang w:eastAsia="es-CR"/>
              </w:rPr>
              <w:t xml:space="preserve"> en el año t1 + ... + Sumatoria de personas extranjeras que tramitan regularización a través del programa </w:t>
            </w:r>
            <w:proofErr w:type="spellStart"/>
            <w:r w:rsidRPr="0073029B">
              <w:rPr>
                <w:rFonts w:eastAsia="Times New Roman" w:cs="Tahoma"/>
                <w:color w:val="000000"/>
                <w:szCs w:val="16"/>
                <w:lang w:eastAsia="es-CR"/>
              </w:rPr>
              <w:t>migramóvil</w:t>
            </w:r>
            <w:proofErr w:type="spellEnd"/>
            <w:r w:rsidRPr="0073029B">
              <w:rPr>
                <w:rFonts w:eastAsia="Times New Roman" w:cs="Tahoma"/>
                <w:color w:val="000000"/>
                <w:szCs w:val="16"/>
                <w:lang w:eastAsia="es-CR"/>
              </w:rPr>
              <w:t xml:space="preserve"> en el año t4) / (Total de personas que se presentan a las estaciones de </w:t>
            </w:r>
            <w:proofErr w:type="spellStart"/>
            <w:r w:rsidRPr="0073029B">
              <w:rPr>
                <w:rFonts w:eastAsia="Times New Roman" w:cs="Tahoma"/>
                <w:color w:val="000000"/>
                <w:szCs w:val="16"/>
                <w:lang w:eastAsia="es-CR"/>
              </w:rPr>
              <w:t>migramóvil</w:t>
            </w:r>
            <w:proofErr w:type="spellEnd"/>
            <w:r w:rsidRPr="0073029B">
              <w:rPr>
                <w:rFonts w:eastAsia="Times New Roman" w:cs="Tahoma"/>
                <w:color w:val="000000"/>
                <w:szCs w:val="16"/>
                <w:lang w:eastAsia="es-CR"/>
              </w:rPr>
              <w:t xml:space="preserve"> en el año t1 + ... +Total de personas que se presentan a las estaciones de </w:t>
            </w:r>
            <w:proofErr w:type="spellStart"/>
            <w:r w:rsidRPr="0073029B">
              <w:rPr>
                <w:rFonts w:eastAsia="Times New Roman" w:cs="Tahoma"/>
                <w:color w:val="000000"/>
                <w:szCs w:val="16"/>
                <w:lang w:eastAsia="es-CR"/>
              </w:rPr>
              <w:t>migramóvil</w:t>
            </w:r>
            <w:proofErr w:type="spellEnd"/>
            <w:r w:rsidRPr="0073029B">
              <w:rPr>
                <w:rFonts w:eastAsia="Times New Roman" w:cs="Tahoma"/>
                <w:color w:val="000000"/>
                <w:szCs w:val="16"/>
                <w:lang w:eastAsia="es-CR"/>
              </w:rPr>
              <w:t xml:space="preserve"> en el año t4) *100</w:t>
            </w:r>
          </w:p>
        </w:tc>
      </w:tr>
      <w:tr w:rsidR="003855FD" w:rsidRPr="0073029B" w14:paraId="2D38C99C" w14:textId="77777777" w:rsidTr="004D2834">
        <w:trPr>
          <w:trHeight w:val="516"/>
        </w:trPr>
        <w:tc>
          <w:tcPr>
            <w:tcW w:w="1463" w:type="pct"/>
            <w:gridSpan w:val="2"/>
            <w:shd w:val="clear" w:color="auto" w:fill="auto"/>
            <w:hideMark/>
          </w:tcPr>
          <w:p w14:paraId="6520FC2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537" w:type="pct"/>
            <w:shd w:val="clear" w:color="auto" w:fill="auto"/>
            <w:hideMark/>
          </w:tcPr>
          <w:p w14:paraId="3D75975E"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 Solicitudes de regularización recibidas a través del Programa </w:t>
            </w:r>
            <w:proofErr w:type="spellStart"/>
            <w:r w:rsidRPr="0073029B">
              <w:rPr>
                <w:rFonts w:eastAsia="Times New Roman" w:cs="Tahoma"/>
                <w:color w:val="000000"/>
                <w:szCs w:val="16"/>
                <w:lang w:eastAsia="es-CR"/>
              </w:rPr>
              <w:t>Migramóvil</w:t>
            </w:r>
            <w:proofErr w:type="spellEnd"/>
            <w:r w:rsidRPr="0073029B">
              <w:rPr>
                <w:rFonts w:eastAsia="Times New Roman" w:cs="Tahoma"/>
                <w:color w:val="000000"/>
                <w:szCs w:val="16"/>
                <w:lang w:eastAsia="es-CR"/>
              </w:rPr>
              <w:t xml:space="preserve"> en el año </w:t>
            </w:r>
            <w:proofErr w:type="spellStart"/>
            <w:r w:rsidRPr="0073029B">
              <w:rPr>
                <w:rFonts w:eastAsia="Times New Roman" w:cs="Tahoma"/>
                <w:color w:val="000000"/>
                <w:szCs w:val="16"/>
                <w:lang w:eastAsia="es-CR"/>
              </w:rPr>
              <w:t>tn</w:t>
            </w:r>
            <w:proofErr w:type="spellEnd"/>
            <w:r w:rsidRPr="0073029B">
              <w:rPr>
                <w:rFonts w:eastAsia="Times New Roman" w:cs="Tahoma"/>
                <w:color w:val="000000"/>
                <w:szCs w:val="16"/>
                <w:lang w:eastAsia="es-CR"/>
              </w:rPr>
              <w:t xml:space="preserve">, para n que va desde 1 hasta 4.  </w:t>
            </w:r>
          </w:p>
          <w:p w14:paraId="633CC404"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 Total de personas que se presentan a las estaciones de </w:t>
            </w:r>
            <w:proofErr w:type="spellStart"/>
            <w:r w:rsidRPr="0073029B">
              <w:rPr>
                <w:rFonts w:eastAsia="Times New Roman" w:cs="Tahoma"/>
                <w:color w:val="000000"/>
                <w:szCs w:val="16"/>
                <w:lang w:eastAsia="es-CR"/>
              </w:rPr>
              <w:t>Migramóvil</w:t>
            </w:r>
            <w:proofErr w:type="spellEnd"/>
            <w:r w:rsidRPr="0073029B">
              <w:rPr>
                <w:rFonts w:eastAsia="Times New Roman" w:cs="Tahoma"/>
                <w:color w:val="000000"/>
                <w:szCs w:val="16"/>
                <w:lang w:eastAsia="es-CR"/>
              </w:rPr>
              <w:t xml:space="preserve"> en el año </w:t>
            </w:r>
            <w:proofErr w:type="spellStart"/>
            <w:r w:rsidRPr="0073029B">
              <w:rPr>
                <w:rFonts w:eastAsia="Times New Roman" w:cs="Tahoma"/>
                <w:color w:val="000000"/>
                <w:szCs w:val="16"/>
                <w:lang w:eastAsia="es-CR"/>
              </w:rPr>
              <w:t>tn</w:t>
            </w:r>
            <w:proofErr w:type="spellEnd"/>
          </w:p>
        </w:tc>
      </w:tr>
      <w:tr w:rsidR="003855FD" w:rsidRPr="0073029B" w14:paraId="48539502" w14:textId="77777777" w:rsidTr="004D2834">
        <w:trPr>
          <w:trHeight w:val="276"/>
        </w:trPr>
        <w:tc>
          <w:tcPr>
            <w:tcW w:w="1463" w:type="pct"/>
            <w:gridSpan w:val="2"/>
            <w:shd w:val="clear" w:color="auto" w:fill="auto"/>
            <w:hideMark/>
          </w:tcPr>
          <w:p w14:paraId="769B3EA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37" w:type="pct"/>
            <w:shd w:val="clear" w:color="auto" w:fill="auto"/>
            <w:hideMark/>
          </w:tcPr>
          <w:p w14:paraId="3CC0B7AF"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Porcentaje</w:t>
            </w:r>
          </w:p>
        </w:tc>
      </w:tr>
      <w:tr w:rsidR="003855FD" w:rsidRPr="0073029B" w14:paraId="02AB6585" w14:textId="77777777" w:rsidTr="004D2834">
        <w:trPr>
          <w:trHeight w:val="421"/>
        </w:trPr>
        <w:tc>
          <w:tcPr>
            <w:tcW w:w="1463" w:type="pct"/>
            <w:gridSpan w:val="2"/>
            <w:shd w:val="clear" w:color="auto" w:fill="auto"/>
            <w:hideMark/>
          </w:tcPr>
          <w:p w14:paraId="49883EC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37" w:type="pct"/>
            <w:shd w:val="clear" w:color="auto" w:fill="auto"/>
            <w:hideMark/>
          </w:tcPr>
          <w:p w14:paraId="0ADE067B"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La Dirección de Integración y Desarrollo Humano a través del Programa </w:t>
            </w:r>
            <w:proofErr w:type="spellStart"/>
            <w:r w:rsidRPr="0073029B">
              <w:rPr>
                <w:rFonts w:eastAsia="Times New Roman" w:cs="Tahoma"/>
                <w:color w:val="000000"/>
                <w:szCs w:val="16"/>
                <w:lang w:eastAsia="es-CR"/>
              </w:rPr>
              <w:t>Migramóvil</w:t>
            </w:r>
            <w:proofErr w:type="spellEnd"/>
            <w:r w:rsidRPr="0073029B">
              <w:rPr>
                <w:rFonts w:eastAsia="Times New Roman" w:cs="Tahoma"/>
                <w:color w:val="000000"/>
                <w:szCs w:val="16"/>
                <w:lang w:eastAsia="es-CR"/>
              </w:rPr>
              <w:t xml:space="preserve"> logró dar seguimiento a la regularización de migrantes que lograron culminar su trámite hasta su documentación.</w:t>
            </w:r>
          </w:p>
        </w:tc>
      </w:tr>
      <w:tr w:rsidR="003855FD" w:rsidRPr="0073029B" w14:paraId="11931F9F" w14:textId="77777777" w:rsidTr="004D2834">
        <w:trPr>
          <w:trHeight w:val="288"/>
        </w:trPr>
        <w:tc>
          <w:tcPr>
            <w:tcW w:w="793" w:type="pct"/>
            <w:vMerge w:val="restart"/>
            <w:shd w:val="clear" w:color="auto" w:fill="auto"/>
            <w:hideMark/>
          </w:tcPr>
          <w:p w14:paraId="046241B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70" w:type="pct"/>
            <w:shd w:val="clear" w:color="auto" w:fill="auto"/>
            <w:hideMark/>
          </w:tcPr>
          <w:p w14:paraId="487FA4E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37" w:type="pct"/>
            <w:shd w:val="clear" w:color="auto" w:fill="auto"/>
            <w:hideMark/>
          </w:tcPr>
          <w:p w14:paraId="63E6352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w:t>
            </w:r>
          </w:p>
        </w:tc>
      </w:tr>
      <w:tr w:rsidR="003855FD" w:rsidRPr="0073029B" w14:paraId="2330BDBE" w14:textId="77777777" w:rsidTr="004D2834">
        <w:trPr>
          <w:trHeight w:val="288"/>
        </w:trPr>
        <w:tc>
          <w:tcPr>
            <w:tcW w:w="793" w:type="pct"/>
            <w:vMerge/>
            <w:vAlign w:val="center"/>
            <w:hideMark/>
          </w:tcPr>
          <w:p w14:paraId="5430DE8B" w14:textId="77777777" w:rsidR="003855FD" w:rsidRPr="0073029B" w:rsidRDefault="003855FD" w:rsidP="004D2834">
            <w:pPr>
              <w:spacing w:after="0" w:line="240" w:lineRule="auto"/>
              <w:rPr>
                <w:rFonts w:eastAsia="Times New Roman" w:cs="Tahoma"/>
                <w:b/>
                <w:bCs/>
                <w:color w:val="000000"/>
                <w:szCs w:val="16"/>
                <w:lang w:eastAsia="es-CR"/>
              </w:rPr>
            </w:pPr>
          </w:p>
        </w:tc>
        <w:tc>
          <w:tcPr>
            <w:tcW w:w="670" w:type="pct"/>
            <w:shd w:val="clear" w:color="auto" w:fill="auto"/>
            <w:hideMark/>
          </w:tcPr>
          <w:p w14:paraId="71D654C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37" w:type="pct"/>
            <w:shd w:val="clear" w:color="auto" w:fill="auto"/>
            <w:hideMark/>
          </w:tcPr>
          <w:p w14:paraId="467F782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Servicios de la </w:t>
            </w:r>
            <w:proofErr w:type="spellStart"/>
            <w:r w:rsidRPr="0073029B">
              <w:rPr>
                <w:rFonts w:eastAsia="Times New Roman" w:cs="Tahoma"/>
                <w:color w:val="000000"/>
                <w:szCs w:val="16"/>
                <w:lang w:eastAsia="es-CR"/>
              </w:rPr>
              <w:t>migramóvil</w:t>
            </w:r>
            <w:proofErr w:type="spellEnd"/>
          </w:p>
        </w:tc>
      </w:tr>
      <w:tr w:rsidR="003855FD" w:rsidRPr="0073029B" w14:paraId="0190C211" w14:textId="77777777" w:rsidTr="004D2834">
        <w:trPr>
          <w:trHeight w:val="288"/>
        </w:trPr>
        <w:tc>
          <w:tcPr>
            <w:tcW w:w="1463" w:type="pct"/>
            <w:gridSpan w:val="2"/>
            <w:shd w:val="clear" w:color="auto" w:fill="auto"/>
            <w:hideMark/>
          </w:tcPr>
          <w:p w14:paraId="1FEBF28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537" w:type="pct"/>
            <w:shd w:val="clear" w:color="auto" w:fill="auto"/>
            <w:hideMark/>
          </w:tcPr>
          <w:p w14:paraId="39C2CF2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w:t>
            </w:r>
          </w:p>
        </w:tc>
      </w:tr>
      <w:tr w:rsidR="003855FD" w:rsidRPr="0073029B" w14:paraId="771A3CCB" w14:textId="77777777" w:rsidTr="004D2834">
        <w:trPr>
          <w:trHeight w:val="288"/>
        </w:trPr>
        <w:tc>
          <w:tcPr>
            <w:tcW w:w="1463" w:type="pct"/>
            <w:gridSpan w:val="2"/>
            <w:shd w:val="clear" w:color="auto" w:fill="auto"/>
          </w:tcPr>
          <w:p w14:paraId="2971A59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537" w:type="pct"/>
            <w:shd w:val="clear" w:color="auto" w:fill="auto"/>
          </w:tcPr>
          <w:p w14:paraId="07E9B00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24%</w:t>
            </w:r>
          </w:p>
          <w:p w14:paraId="2B11CCCD" w14:textId="77777777" w:rsidR="003855FD" w:rsidRPr="0073029B" w:rsidRDefault="003855FD" w:rsidP="004D2834">
            <w:pPr>
              <w:spacing w:after="0" w:line="240" w:lineRule="auto"/>
              <w:rPr>
                <w:rFonts w:eastAsia="Times New Roman" w:cs="Tahoma"/>
                <w:color w:val="000000"/>
                <w:szCs w:val="16"/>
                <w:lang w:eastAsia="es-CR"/>
              </w:rPr>
            </w:pPr>
          </w:p>
          <w:p w14:paraId="64EA99AB"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 21%</w:t>
            </w:r>
          </w:p>
          <w:p w14:paraId="1716185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2024: 22%</w:t>
            </w:r>
          </w:p>
          <w:p w14:paraId="45B184D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2025: 23%</w:t>
            </w:r>
          </w:p>
          <w:p w14:paraId="4642433C"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2026: 24%</w:t>
            </w:r>
          </w:p>
        </w:tc>
      </w:tr>
      <w:tr w:rsidR="003855FD" w:rsidRPr="0073029B" w14:paraId="21D292FB" w14:textId="77777777" w:rsidTr="004D2834">
        <w:trPr>
          <w:trHeight w:val="396"/>
        </w:trPr>
        <w:tc>
          <w:tcPr>
            <w:tcW w:w="1463" w:type="pct"/>
            <w:gridSpan w:val="2"/>
            <w:shd w:val="clear" w:color="auto" w:fill="auto"/>
            <w:hideMark/>
          </w:tcPr>
          <w:p w14:paraId="449B3C7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Responsable</w:t>
            </w:r>
          </w:p>
        </w:tc>
        <w:tc>
          <w:tcPr>
            <w:tcW w:w="3537" w:type="pct"/>
            <w:shd w:val="clear" w:color="auto" w:fill="auto"/>
            <w:hideMark/>
          </w:tcPr>
          <w:p w14:paraId="126AAF45"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Dirección General de Migración y Extranjería</w:t>
            </w:r>
          </w:p>
        </w:tc>
      </w:tr>
      <w:tr w:rsidR="003855FD" w:rsidRPr="0073029B" w14:paraId="16E7BABA" w14:textId="77777777" w:rsidTr="004D2834">
        <w:trPr>
          <w:trHeight w:val="420"/>
        </w:trPr>
        <w:tc>
          <w:tcPr>
            <w:tcW w:w="1463" w:type="pct"/>
            <w:gridSpan w:val="2"/>
            <w:shd w:val="clear" w:color="auto" w:fill="auto"/>
            <w:hideMark/>
          </w:tcPr>
          <w:p w14:paraId="265D616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w:t>
            </w:r>
            <w:r w:rsidRPr="0073029B">
              <w:rPr>
                <w:rFonts w:eastAsia="Times New Roman" w:cs="Tahoma"/>
                <w:b/>
                <w:bCs/>
                <w:color w:val="000000"/>
                <w:szCs w:val="16"/>
                <w:lang w:eastAsia="es-CR"/>
              </w:rPr>
              <w:br/>
              <w:t>seguimiento</w:t>
            </w:r>
          </w:p>
        </w:tc>
        <w:tc>
          <w:tcPr>
            <w:tcW w:w="3537" w:type="pct"/>
            <w:shd w:val="clear" w:color="auto" w:fill="auto"/>
            <w:hideMark/>
          </w:tcPr>
          <w:p w14:paraId="676E8B6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Anual</w:t>
            </w:r>
          </w:p>
        </w:tc>
      </w:tr>
      <w:tr w:rsidR="003855FD" w:rsidRPr="0073029B" w14:paraId="6C2E850A" w14:textId="77777777" w:rsidTr="004D2834">
        <w:trPr>
          <w:trHeight w:val="479"/>
        </w:trPr>
        <w:tc>
          <w:tcPr>
            <w:tcW w:w="1463" w:type="pct"/>
            <w:gridSpan w:val="2"/>
            <w:shd w:val="clear" w:color="auto" w:fill="auto"/>
            <w:hideMark/>
          </w:tcPr>
          <w:p w14:paraId="52F33B2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37" w:type="pct"/>
            <w:shd w:val="clear" w:color="auto" w:fill="auto"/>
            <w:hideMark/>
          </w:tcPr>
          <w:p w14:paraId="583108E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Dirección General de Migración y Extranjería. Dirección de Integración y Desarrollo Humano. Informes de seguimiento de la intervención.</w:t>
            </w:r>
          </w:p>
        </w:tc>
      </w:tr>
      <w:tr w:rsidR="003855FD" w:rsidRPr="0073029B" w14:paraId="5FAC0A62" w14:textId="77777777" w:rsidTr="004D2834">
        <w:trPr>
          <w:trHeight w:val="450"/>
        </w:trPr>
        <w:tc>
          <w:tcPr>
            <w:tcW w:w="1463" w:type="pct"/>
            <w:gridSpan w:val="2"/>
            <w:shd w:val="clear" w:color="auto" w:fill="auto"/>
            <w:hideMark/>
          </w:tcPr>
          <w:p w14:paraId="4FB2C0A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537" w:type="pct"/>
            <w:shd w:val="clear" w:color="auto" w:fill="auto"/>
            <w:hideMark/>
          </w:tcPr>
          <w:p w14:paraId="17958F6D"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2F10D6B3" w14:textId="77777777" w:rsidTr="004D2834">
        <w:trPr>
          <w:trHeight w:val="399"/>
        </w:trPr>
        <w:tc>
          <w:tcPr>
            <w:tcW w:w="1463" w:type="pct"/>
            <w:gridSpan w:val="2"/>
            <w:shd w:val="clear" w:color="auto" w:fill="auto"/>
            <w:hideMark/>
          </w:tcPr>
          <w:p w14:paraId="66173DD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37" w:type="pct"/>
            <w:shd w:val="clear" w:color="auto" w:fill="auto"/>
            <w:hideMark/>
          </w:tcPr>
          <w:p w14:paraId="24AD7FE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Registro administrativo de tramites de regularización migratoria del programa </w:t>
            </w:r>
            <w:proofErr w:type="spellStart"/>
            <w:r w:rsidRPr="0073029B">
              <w:rPr>
                <w:rFonts w:eastAsia="Times New Roman" w:cs="Tahoma"/>
                <w:color w:val="000000"/>
                <w:szCs w:val="16"/>
                <w:lang w:eastAsia="es-CR"/>
              </w:rPr>
              <w:t>migramóvil</w:t>
            </w:r>
            <w:proofErr w:type="spellEnd"/>
            <w:r w:rsidRPr="0073029B">
              <w:rPr>
                <w:rFonts w:eastAsia="Times New Roman" w:cs="Tahoma"/>
                <w:color w:val="000000"/>
                <w:szCs w:val="16"/>
                <w:lang w:eastAsia="es-CR"/>
              </w:rPr>
              <w:t>.</w:t>
            </w:r>
          </w:p>
        </w:tc>
      </w:tr>
      <w:tr w:rsidR="003855FD" w:rsidRPr="0073029B" w14:paraId="2EC8739B" w14:textId="77777777" w:rsidTr="004D2834">
        <w:trPr>
          <w:trHeight w:val="432"/>
        </w:trPr>
        <w:tc>
          <w:tcPr>
            <w:tcW w:w="1463" w:type="pct"/>
            <w:gridSpan w:val="2"/>
            <w:shd w:val="clear" w:color="auto" w:fill="auto"/>
            <w:hideMark/>
          </w:tcPr>
          <w:p w14:paraId="34096EB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 Sostenible (ODS) vinculado</w:t>
            </w:r>
          </w:p>
        </w:tc>
        <w:tc>
          <w:tcPr>
            <w:tcW w:w="3537" w:type="pct"/>
            <w:shd w:val="clear" w:color="auto" w:fill="auto"/>
            <w:hideMark/>
          </w:tcPr>
          <w:p w14:paraId="68E831B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10.7.2</w:t>
            </w:r>
          </w:p>
        </w:tc>
      </w:tr>
      <w:tr w:rsidR="003855FD" w:rsidRPr="0073029B" w14:paraId="61D240C1" w14:textId="77777777" w:rsidTr="004D2834">
        <w:trPr>
          <w:trHeight w:val="432"/>
        </w:trPr>
        <w:tc>
          <w:tcPr>
            <w:tcW w:w="1463" w:type="pct"/>
            <w:gridSpan w:val="2"/>
            <w:shd w:val="clear" w:color="auto" w:fill="auto"/>
            <w:hideMark/>
          </w:tcPr>
          <w:p w14:paraId="5B07BC4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537" w:type="pct"/>
            <w:shd w:val="clear" w:color="auto" w:fill="auto"/>
            <w:hideMark/>
          </w:tcPr>
          <w:p w14:paraId="52CEC7C2"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7DD211BA" w14:textId="77777777" w:rsidTr="004D2834">
        <w:trPr>
          <w:trHeight w:val="432"/>
        </w:trPr>
        <w:tc>
          <w:tcPr>
            <w:tcW w:w="1463" w:type="pct"/>
            <w:gridSpan w:val="2"/>
            <w:shd w:val="clear" w:color="auto" w:fill="auto"/>
            <w:hideMark/>
          </w:tcPr>
          <w:p w14:paraId="5A0B1FC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 de Montevideo</w:t>
            </w:r>
          </w:p>
        </w:tc>
        <w:tc>
          <w:tcPr>
            <w:tcW w:w="3537" w:type="pct"/>
            <w:shd w:val="clear" w:color="auto" w:fill="auto"/>
            <w:hideMark/>
          </w:tcPr>
          <w:p w14:paraId="77CFE6B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F: 66, 67, 72, 73</w:t>
            </w:r>
          </w:p>
        </w:tc>
      </w:tr>
      <w:tr w:rsidR="003855FD" w:rsidRPr="0073029B" w14:paraId="40278658" w14:textId="77777777" w:rsidTr="004D2834">
        <w:trPr>
          <w:trHeight w:val="432"/>
        </w:trPr>
        <w:tc>
          <w:tcPr>
            <w:tcW w:w="1463" w:type="pct"/>
            <w:gridSpan w:val="2"/>
            <w:shd w:val="clear" w:color="auto" w:fill="auto"/>
            <w:hideMark/>
          </w:tcPr>
          <w:p w14:paraId="7EFF0F7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 Desarrollo</w:t>
            </w:r>
          </w:p>
        </w:tc>
        <w:tc>
          <w:tcPr>
            <w:tcW w:w="3537" w:type="pct"/>
            <w:shd w:val="clear" w:color="auto" w:fill="auto"/>
            <w:hideMark/>
          </w:tcPr>
          <w:p w14:paraId="1A015506"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No aplica</w:t>
            </w:r>
          </w:p>
        </w:tc>
      </w:tr>
      <w:tr w:rsidR="003855FD" w:rsidRPr="0073029B" w14:paraId="55EC476B" w14:textId="77777777" w:rsidTr="004D2834">
        <w:trPr>
          <w:trHeight w:val="2520"/>
        </w:trPr>
        <w:tc>
          <w:tcPr>
            <w:tcW w:w="1463" w:type="pct"/>
            <w:gridSpan w:val="2"/>
            <w:shd w:val="clear" w:color="auto" w:fill="auto"/>
            <w:hideMark/>
          </w:tcPr>
          <w:p w14:paraId="4759BC8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37" w:type="pct"/>
            <w:shd w:val="clear" w:color="auto" w:fill="auto"/>
            <w:hideMark/>
          </w:tcPr>
          <w:p w14:paraId="58A269B9" w14:textId="77777777" w:rsidR="003855FD" w:rsidRPr="0073029B" w:rsidRDefault="003855FD" w:rsidP="004D2834">
            <w:pPr>
              <w:spacing w:after="0" w:line="240" w:lineRule="auto"/>
              <w:jc w:val="both"/>
              <w:rPr>
                <w:rFonts w:eastAsia="Times New Roman" w:cs="Tahoma"/>
                <w:color w:val="000000"/>
                <w:szCs w:val="16"/>
                <w:lang w:eastAsia="es-CR"/>
              </w:rPr>
            </w:pPr>
            <w:proofErr w:type="spellStart"/>
            <w:r w:rsidRPr="0073029B">
              <w:rPr>
                <w:rFonts w:eastAsia="Times New Roman" w:cs="Tahoma"/>
                <w:color w:val="000000"/>
                <w:szCs w:val="16"/>
                <w:lang w:eastAsia="es-CR"/>
              </w:rPr>
              <w:t>Migramóvil</w:t>
            </w:r>
            <w:proofErr w:type="spellEnd"/>
            <w:r w:rsidRPr="0073029B">
              <w:rPr>
                <w:rFonts w:eastAsia="Times New Roman" w:cs="Tahoma"/>
                <w:color w:val="000000"/>
                <w:szCs w:val="16"/>
                <w:lang w:eastAsia="es-CR"/>
              </w:rPr>
              <w:t xml:space="preserve"> es un programa que se impulsa para acortar distancias entre la DGME y las personas migrantes.</w:t>
            </w:r>
          </w:p>
          <w:p w14:paraId="69BEC08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La meta es un estimado que bien pueden ser más o pueden ser menos, porque se desconoce con certeza cuántas personas migrantes podrán tener interés en finalizar la regularización. No obstante, la estrategia es promover la regularización de las personas migrantes para que puedan acceder a los diferentes servicios que ofrece el Estado y se respeten sus derechos.</w:t>
            </w:r>
            <w:r w:rsidRPr="0073029B">
              <w:rPr>
                <w:rFonts w:eastAsia="Times New Roman" w:cs="Tahoma"/>
                <w:color w:val="000000"/>
                <w:szCs w:val="16"/>
                <w:lang w:eastAsia="es-CR"/>
              </w:rPr>
              <w:br/>
              <w:t>Supuestos: Las proyecciones de las metas están amparadas en el comportamiento desde el 2019. Los desplazamientos migratorios son un fenómeno social cambiante que depende de la realidad vivida en otros países y es evidente que los factores expulsores en los países de origen se han incrementado notablemente. Al estar las fronteras cerradas esto provoca incertidumbre en el comportamiento del fenómeno migratorio en Costa Rica. El cumplimiento de esta meta está sujeto a la disponibilidad del presupuesto solicitado, recurso humano y equipo.</w:t>
            </w:r>
            <w:r w:rsidRPr="0073029B">
              <w:rPr>
                <w:rFonts w:eastAsia="Times New Roman" w:cs="Tahoma"/>
                <w:color w:val="000000"/>
                <w:szCs w:val="16"/>
                <w:lang w:eastAsia="es-CR"/>
              </w:rPr>
              <w:br/>
              <w:t>Notas Técnicas: los movimientos de migración son un fenómeno social cambiante que depende de la realidad vivida en otros países y ese comportamiento de los flujos migratorios es incierto.</w:t>
            </w:r>
          </w:p>
        </w:tc>
      </w:tr>
      <w:tr w:rsidR="003855FD" w:rsidRPr="0073029B" w14:paraId="45947531" w14:textId="77777777" w:rsidTr="004D2834">
        <w:trPr>
          <w:trHeight w:val="201"/>
        </w:trPr>
        <w:tc>
          <w:tcPr>
            <w:tcW w:w="1463" w:type="pct"/>
            <w:gridSpan w:val="2"/>
            <w:shd w:val="clear" w:color="auto" w:fill="003A70"/>
            <w:hideMark/>
          </w:tcPr>
          <w:p w14:paraId="647CA7F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537" w:type="pct"/>
            <w:shd w:val="clear" w:color="auto" w:fill="auto"/>
            <w:hideMark/>
          </w:tcPr>
          <w:p w14:paraId="1D439AC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b/>
                <w:color w:val="000000"/>
                <w:szCs w:val="16"/>
                <w:lang w:eastAsia="es-CR"/>
              </w:rPr>
              <w:t>2024:</w:t>
            </w:r>
            <w:r w:rsidRPr="0073029B">
              <w:rPr>
                <w:rFonts w:eastAsia="Times New Roman" w:cs="Tahoma"/>
                <w:color w:val="000000"/>
                <w:szCs w:val="16"/>
                <w:lang w:eastAsia="es-CR"/>
              </w:rPr>
              <w:t xml:space="preserve"> Se modificó la definición conceptual, la fórmula de cálculo, los componentes involucrados en la fórmula del cálculo, la fuente de información y el tipo de operación estadística. Oficio de aprobación MIDEPLAN-DVM-OF-0502-2024 (rige a partir de 2025</w:t>
            </w:r>
            <w:proofErr w:type="gramStart"/>
            <w:r w:rsidRPr="0073029B">
              <w:rPr>
                <w:rFonts w:eastAsia="Times New Roman" w:cs="Tahoma"/>
                <w:color w:val="000000"/>
                <w:szCs w:val="16"/>
                <w:lang w:eastAsia="es-CR"/>
              </w:rPr>
              <w:t>)..</w:t>
            </w:r>
            <w:proofErr w:type="gramEnd"/>
          </w:p>
        </w:tc>
      </w:tr>
    </w:tbl>
    <w:p w14:paraId="6B60B08A" w14:textId="77777777" w:rsidR="003855FD" w:rsidRPr="0073029B" w:rsidRDefault="003855FD" w:rsidP="003855FD">
      <w:pPr>
        <w:pStyle w:val="Default"/>
        <w:rPr>
          <w:rFonts w:ascii="Tahoma" w:eastAsia="Arial Narrow" w:hAnsi="Tahoma" w:cs="Tahoma"/>
          <w:sz w:val="16"/>
          <w:szCs w:val="16"/>
        </w:rPr>
      </w:pPr>
      <w:r w:rsidRPr="0073029B">
        <w:rPr>
          <w:rFonts w:ascii="Tahoma" w:eastAsia="Arial Narrow" w:hAnsi="Tahoma" w:cs="Tahoma"/>
          <w:sz w:val="16"/>
          <w:szCs w:val="16"/>
        </w:rPr>
        <w:t xml:space="preserve">Fuente: </w:t>
      </w:r>
      <w:r w:rsidRPr="0073029B">
        <w:rPr>
          <w:rFonts w:ascii="Tahoma" w:hAnsi="Tahoma" w:cs="Tahoma"/>
          <w:sz w:val="16"/>
          <w:szCs w:val="16"/>
        </w:rPr>
        <w:t>Dirección General de Migración y Extranjería.</w:t>
      </w:r>
    </w:p>
    <w:p w14:paraId="776192DE" w14:textId="77777777" w:rsidR="003855FD" w:rsidRPr="0073029B" w:rsidRDefault="003855FD" w:rsidP="003855FD">
      <w:pPr>
        <w:pStyle w:val="Default"/>
        <w:rPr>
          <w:rFonts w:ascii="Tahoma" w:eastAsia="Arial Narrow" w:hAnsi="Tahoma" w:cs="Tahoma"/>
          <w:sz w:val="16"/>
          <w:szCs w:val="16"/>
        </w:rPr>
      </w:pPr>
    </w:p>
    <w:p w14:paraId="754C4ED9" w14:textId="77777777" w:rsidR="003855FD" w:rsidRPr="0073029B" w:rsidRDefault="003855FD"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1249"/>
        <w:gridCol w:w="6595"/>
      </w:tblGrid>
      <w:tr w:rsidR="003855FD" w:rsidRPr="0073029B" w14:paraId="623C5F9E" w14:textId="77777777" w:rsidTr="004D2834">
        <w:trPr>
          <w:trHeight w:val="228"/>
          <w:tblHeader/>
        </w:trPr>
        <w:tc>
          <w:tcPr>
            <w:tcW w:w="1463" w:type="pct"/>
            <w:gridSpan w:val="2"/>
            <w:shd w:val="clear" w:color="auto" w:fill="003A70"/>
            <w:hideMark/>
          </w:tcPr>
          <w:p w14:paraId="0B79D2F2"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537" w:type="pct"/>
            <w:shd w:val="clear" w:color="auto" w:fill="003A70"/>
            <w:hideMark/>
          </w:tcPr>
          <w:p w14:paraId="5B9E47FB"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 xml:space="preserve">A.3.1.3 </w:t>
            </w:r>
          </w:p>
        </w:tc>
      </w:tr>
      <w:tr w:rsidR="003855FD" w:rsidRPr="0073029B" w14:paraId="1EA0F5D0" w14:textId="77777777" w:rsidTr="004D2834">
        <w:trPr>
          <w:trHeight w:val="288"/>
          <w:tblHeader/>
        </w:trPr>
        <w:tc>
          <w:tcPr>
            <w:tcW w:w="1463" w:type="pct"/>
            <w:gridSpan w:val="2"/>
            <w:shd w:val="clear" w:color="000000" w:fill="D9D9D9"/>
            <w:vAlign w:val="center"/>
            <w:hideMark/>
          </w:tcPr>
          <w:p w14:paraId="412D1EC5"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37" w:type="pct"/>
            <w:shd w:val="clear" w:color="000000" w:fill="D9D9D9"/>
            <w:vAlign w:val="center"/>
            <w:hideMark/>
          </w:tcPr>
          <w:p w14:paraId="7B023465"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25C341BC" w14:textId="77777777" w:rsidTr="004D2834">
        <w:trPr>
          <w:trHeight w:val="338"/>
        </w:trPr>
        <w:tc>
          <w:tcPr>
            <w:tcW w:w="1463" w:type="pct"/>
            <w:gridSpan w:val="2"/>
            <w:shd w:val="clear" w:color="auto" w:fill="003A70"/>
            <w:hideMark/>
          </w:tcPr>
          <w:p w14:paraId="2002EE6D"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537" w:type="pct"/>
            <w:shd w:val="clear" w:color="auto" w:fill="003A70"/>
            <w:hideMark/>
          </w:tcPr>
          <w:p w14:paraId="2B81987A" w14:textId="77777777" w:rsidR="003855FD" w:rsidRPr="0073029B" w:rsidRDefault="003855FD" w:rsidP="004D2834">
            <w:pPr>
              <w:spacing w:after="0"/>
              <w:jc w:val="both"/>
              <w:rPr>
                <w:rFonts w:cs="Tahoma"/>
                <w:b/>
                <w:lang w:eastAsia="es-CR"/>
              </w:rPr>
            </w:pPr>
            <w:bookmarkStart w:id="66" w:name="_Toc202257794"/>
            <w:r w:rsidRPr="0073029B">
              <w:rPr>
                <w:rFonts w:cs="Tahoma"/>
                <w:b/>
                <w:lang w:eastAsia="es-CR"/>
              </w:rPr>
              <w:t>A.3.1.3 Porcentaje de personas identificadas en los flujos migratorios mixtos que son atendidas con protocolos institucionales.</w:t>
            </w:r>
            <w:bookmarkEnd w:id="66"/>
          </w:p>
        </w:tc>
      </w:tr>
      <w:tr w:rsidR="003855FD" w:rsidRPr="0073029B" w14:paraId="3A0AE44D" w14:textId="77777777" w:rsidTr="004D2834">
        <w:trPr>
          <w:trHeight w:val="60"/>
        </w:trPr>
        <w:tc>
          <w:tcPr>
            <w:tcW w:w="1463" w:type="pct"/>
            <w:gridSpan w:val="2"/>
            <w:shd w:val="clear" w:color="auto" w:fill="auto"/>
            <w:hideMark/>
          </w:tcPr>
          <w:p w14:paraId="4EBD92B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37" w:type="pct"/>
            <w:shd w:val="clear" w:color="auto" w:fill="auto"/>
            <w:hideMark/>
          </w:tcPr>
          <w:p w14:paraId="59B2C3B5"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Costa Rica es un país receptor de migrantes y su ruta también es utilizada como tránsito por flujos de migrantes. </w:t>
            </w:r>
            <w:proofErr w:type="spellStart"/>
            <w:r w:rsidRPr="0073029B">
              <w:rPr>
                <w:rFonts w:eastAsia="Times New Roman" w:cs="Tahoma"/>
                <w:color w:val="000000"/>
                <w:szCs w:val="16"/>
                <w:lang w:eastAsia="es-CR"/>
              </w:rPr>
              <w:t>Flujosmigratorios</w:t>
            </w:r>
            <w:proofErr w:type="spellEnd"/>
            <w:r w:rsidRPr="0073029B">
              <w:rPr>
                <w:rFonts w:eastAsia="Times New Roman" w:cs="Tahoma"/>
                <w:color w:val="000000"/>
                <w:szCs w:val="16"/>
                <w:lang w:eastAsia="es-CR"/>
              </w:rPr>
              <w:t xml:space="preserve"> mixtos: corresponde a movimiento en el que varias personas viajan juntas, por lo general en forma irregular, utilizando las mismas rutas y medios de transporte, pero por razones diferentes. En este flujo se encuentran personas que tienen necesidades y perfiles diversos, que pueden incluir a solicitantes de refugio, personas objeto de trata o tráfico, personas en busca de trabajo o mejores condiciones de vida, personas migrantes en tránsito, personas menores de edad no acompañadas o separadas y familias con menores de edad, entre otros grupos. Forma parte de la movilidad internacional de persona. Desde el 2015 los flujos Migratorios se tornan más complejos por su carácter de mixtos, es decir, en estos se identifican diferentes grupos poblacionales que requieren un abordaje especial con perfiles diferentes. Aunque no todas las personas </w:t>
            </w:r>
            <w:r w:rsidRPr="0073029B">
              <w:rPr>
                <w:rFonts w:eastAsia="Times New Roman" w:cs="Tahoma"/>
                <w:color w:val="000000"/>
                <w:szCs w:val="16"/>
                <w:lang w:eastAsia="es-CR"/>
              </w:rPr>
              <w:lastRenderedPageBreak/>
              <w:t>identificadas en estos flujos (registradas en los Centros de Atención Temporal para Migrantes y que solicitan cita para la condición de refugiado), optan por una protección o condición migratoria regular, nuestro país respetuoso de los compromisos adquiridos en materia de derechos humanos, implementa estrategias que faciliten la atención de esta población que podemos ver en tres niveles de protección a partir de su identificación: Para la atención de estos flujos se tienen habilitados Centros de Atención Temporal de Migrantes y zonas seguras tanto en el norte como en el sur del país, donde las personas migrantes se les brinda los servicios básicos como alimentación, salud y hospedaje, además, se les coordina su traslado de la zona sur al norte para continuar su viaje, esta última acción es sufragada por las personas migrantes, de esta manera el tránsito en el territorio nacional sea seguro, se les brinda asistencia en salud, alimentación, se determinan opciones migratorias ya sea para permanecer en el país o continuar su travesía. Se entenderá por identificación a todas las personas provenientes de los flujos migratorios mixtos que son registradas en los Centros de Atención Temporal para Migrantes. Por atención se entenderá, en el caso de los CATEM todos los servicios que se ofrecen a la población extranjera que se encuentra en ellos, desde los servicios de salud, alimentación, asesoría, interpretación, documentación, entre otros. La atención en materia de refugio conlleva la entrevista, la emisión de los documentos provisionales de solicitante de refugio, así como los documentos provisionales que les brinda la opción de laborar, la resolución de solicitudes, su notificación y la documentación definitiva con las credenciales respectivas de persona refugiada.</w:t>
            </w:r>
          </w:p>
        </w:tc>
      </w:tr>
      <w:tr w:rsidR="003855FD" w:rsidRPr="0073029B" w14:paraId="5C0873E5" w14:textId="77777777" w:rsidTr="004D2834">
        <w:trPr>
          <w:trHeight w:val="444"/>
        </w:trPr>
        <w:tc>
          <w:tcPr>
            <w:tcW w:w="1463" w:type="pct"/>
            <w:gridSpan w:val="2"/>
            <w:shd w:val="clear" w:color="auto" w:fill="auto"/>
            <w:hideMark/>
          </w:tcPr>
          <w:p w14:paraId="4EE526E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 xml:space="preserve">Fórmula de cálculo </w:t>
            </w:r>
          </w:p>
        </w:tc>
        <w:tc>
          <w:tcPr>
            <w:tcW w:w="3537" w:type="pct"/>
            <w:shd w:val="clear" w:color="auto" w:fill="auto"/>
            <w:hideMark/>
          </w:tcPr>
          <w:p w14:paraId="48115576"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(Total de personas identificadas en los flujos migratorios mixtos que son atendidas con protocolos institucionales/Total de personas identificadas en los flujos mixtos</w:t>
            </w:r>
            <w:proofErr w:type="gramStart"/>
            <w:r w:rsidRPr="0073029B">
              <w:rPr>
                <w:rFonts w:eastAsia="Times New Roman" w:cs="Tahoma"/>
                <w:color w:val="000000"/>
                <w:szCs w:val="16"/>
                <w:lang w:eastAsia="es-CR"/>
              </w:rPr>
              <w:t>.)*</w:t>
            </w:r>
            <w:proofErr w:type="gramEnd"/>
            <w:r w:rsidRPr="0073029B">
              <w:rPr>
                <w:rFonts w:eastAsia="Times New Roman" w:cs="Tahoma"/>
                <w:color w:val="000000"/>
                <w:szCs w:val="16"/>
                <w:lang w:eastAsia="es-CR"/>
              </w:rPr>
              <w:t>100</w:t>
            </w:r>
          </w:p>
        </w:tc>
      </w:tr>
      <w:tr w:rsidR="003855FD" w:rsidRPr="0073029B" w14:paraId="11A64FB7" w14:textId="77777777" w:rsidTr="004D2834">
        <w:trPr>
          <w:trHeight w:val="478"/>
        </w:trPr>
        <w:tc>
          <w:tcPr>
            <w:tcW w:w="1463" w:type="pct"/>
            <w:gridSpan w:val="2"/>
            <w:shd w:val="clear" w:color="auto" w:fill="auto"/>
            <w:hideMark/>
          </w:tcPr>
          <w:p w14:paraId="4B5304D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537" w:type="pct"/>
            <w:shd w:val="clear" w:color="auto" w:fill="auto"/>
            <w:hideMark/>
          </w:tcPr>
          <w:p w14:paraId="4AED6E1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Los componentes de la formula son los siguientes: - Personas Identificadas en los flujos migratorios mixtos que son atendidas con protocolos institucionales. - Personas identificadas en los flujos migratorios mixtos.</w:t>
            </w:r>
          </w:p>
        </w:tc>
      </w:tr>
      <w:tr w:rsidR="003855FD" w:rsidRPr="0073029B" w14:paraId="08977FEE" w14:textId="77777777" w:rsidTr="004D2834">
        <w:trPr>
          <w:trHeight w:val="276"/>
        </w:trPr>
        <w:tc>
          <w:tcPr>
            <w:tcW w:w="1463" w:type="pct"/>
            <w:gridSpan w:val="2"/>
            <w:shd w:val="clear" w:color="auto" w:fill="auto"/>
            <w:hideMark/>
          </w:tcPr>
          <w:p w14:paraId="344CD8A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37" w:type="pct"/>
            <w:shd w:val="clear" w:color="auto" w:fill="auto"/>
            <w:hideMark/>
          </w:tcPr>
          <w:p w14:paraId="032048D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Porcentaje</w:t>
            </w:r>
          </w:p>
        </w:tc>
      </w:tr>
      <w:tr w:rsidR="003855FD" w:rsidRPr="0073029B" w14:paraId="4CBB26FF" w14:textId="77777777" w:rsidTr="004D2834">
        <w:trPr>
          <w:trHeight w:val="450"/>
        </w:trPr>
        <w:tc>
          <w:tcPr>
            <w:tcW w:w="1463" w:type="pct"/>
            <w:gridSpan w:val="2"/>
            <w:vMerge w:val="restart"/>
            <w:shd w:val="clear" w:color="auto" w:fill="auto"/>
            <w:hideMark/>
          </w:tcPr>
          <w:p w14:paraId="371391C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37" w:type="pct"/>
            <w:vMerge w:val="restart"/>
            <w:shd w:val="clear" w:color="auto" w:fill="auto"/>
            <w:hideMark/>
          </w:tcPr>
          <w:p w14:paraId="04CD22C2"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La Dirección General de Migración y Extranjería garantiza la atención y protección de las personas identificadas en los flujos migratorios mixtos ya sea en los Centros de Atención Temporal para Migrantes, a los solicitantes de la condición de refugiado o condición de protección complementaria y a las personas menores de edad no acompañadas o separadas fuera de su país de origen.</w:t>
            </w:r>
          </w:p>
        </w:tc>
      </w:tr>
      <w:tr w:rsidR="003855FD" w:rsidRPr="0073029B" w14:paraId="02ECEE6E" w14:textId="77777777" w:rsidTr="004D2834">
        <w:trPr>
          <w:trHeight w:val="564"/>
        </w:trPr>
        <w:tc>
          <w:tcPr>
            <w:tcW w:w="1463" w:type="pct"/>
            <w:gridSpan w:val="2"/>
            <w:vMerge/>
            <w:vAlign w:val="center"/>
            <w:hideMark/>
          </w:tcPr>
          <w:p w14:paraId="42D3D928" w14:textId="77777777" w:rsidR="003855FD" w:rsidRPr="0073029B" w:rsidRDefault="003855FD" w:rsidP="004D2834">
            <w:pPr>
              <w:spacing w:after="0" w:line="240" w:lineRule="auto"/>
              <w:rPr>
                <w:rFonts w:eastAsia="Times New Roman" w:cs="Tahoma"/>
                <w:b/>
                <w:bCs/>
                <w:color w:val="000000"/>
                <w:szCs w:val="16"/>
                <w:lang w:eastAsia="es-CR"/>
              </w:rPr>
            </w:pPr>
          </w:p>
        </w:tc>
        <w:tc>
          <w:tcPr>
            <w:tcW w:w="3537" w:type="pct"/>
            <w:vMerge/>
            <w:vAlign w:val="center"/>
            <w:hideMark/>
          </w:tcPr>
          <w:p w14:paraId="543EA92C"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055A0F7E" w14:textId="77777777" w:rsidTr="004D2834">
        <w:trPr>
          <w:trHeight w:val="191"/>
        </w:trPr>
        <w:tc>
          <w:tcPr>
            <w:tcW w:w="793" w:type="pct"/>
            <w:vMerge w:val="restart"/>
            <w:shd w:val="clear" w:color="auto" w:fill="auto"/>
            <w:hideMark/>
          </w:tcPr>
          <w:p w14:paraId="5683A59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70" w:type="pct"/>
            <w:shd w:val="clear" w:color="auto" w:fill="auto"/>
            <w:hideMark/>
          </w:tcPr>
          <w:p w14:paraId="13744B1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37" w:type="pct"/>
            <w:shd w:val="clear" w:color="auto" w:fill="auto"/>
            <w:hideMark/>
          </w:tcPr>
          <w:p w14:paraId="6F720C98"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w:t>
            </w:r>
          </w:p>
        </w:tc>
      </w:tr>
      <w:tr w:rsidR="003855FD" w:rsidRPr="0073029B" w14:paraId="26D835EC" w14:textId="77777777" w:rsidTr="004D2834">
        <w:trPr>
          <w:trHeight w:val="181"/>
        </w:trPr>
        <w:tc>
          <w:tcPr>
            <w:tcW w:w="793" w:type="pct"/>
            <w:vMerge/>
            <w:vAlign w:val="center"/>
            <w:hideMark/>
          </w:tcPr>
          <w:p w14:paraId="6B111A61" w14:textId="77777777" w:rsidR="003855FD" w:rsidRPr="0073029B" w:rsidRDefault="003855FD" w:rsidP="004D2834">
            <w:pPr>
              <w:spacing w:after="0" w:line="240" w:lineRule="auto"/>
              <w:rPr>
                <w:rFonts w:eastAsia="Times New Roman" w:cs="Tahoma"/>
                <w:b/>
                <w:bCs/>
                <w:color w:val="000000"/>
                <w:szCs w:val="16"/>
                <w:lang w:eastAsia="es-CR"/>
              </w:rPr>
            </w:pPr>
          </w:p>
        </w:tc>
        <w:tc>
          <w:tcPr>
            <w:tcW w:w="670" w:type="pct"/>
            <w:shd w:val="clear" w:color="auto" w:fill="auto"/>
            <w:hideMark/>
          </w:tcPr>
          <w:p w14:paraId="0A2DF1A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37" w:type="pct"/>
            <w:shd w:val="clear" w:color="auto" w:fill="auto"/>
            <w:hideMark/>
          </w:tcPr>
          <w:p w14:paraId="1F9B60AB"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Flujos migratorios mixtos</w:t>
            </w:r>
          </w:p>
        </w:tc>
      </w:tr>
      <w:tr w:rsidR="003855FD" w:rsidRPr="0073029B" w14:paraId="1A0E7BE0" w14:textId="77777777" w:rsidTr="004D2834">
        <w:trPr>
          <w:trHeight w:val="288"/>
        </w:trPr>
        <w:tc>
          <w:tcPr>
            <w:tcW w:w="1463" w:type="pct"/>
            <w:gridSpan w:val="2"/>
            <w:shd w:val="clear" w:color="auto" w:fill="auto"/>
            <w:hideMark/>
          </w:tcPr>
          <w:p w14:paraId="4F99623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537" w:type="pct"/>
            <w:shd w:val="clear" w:color="auto" w:fill="auto"/>
            <w:hideMark/>
          </w:tcPr>
          <w:p w14:paraId="4A5AD79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60%</w:t>
            </w:r>
          </w:p>
        </w:tc>
      </w:tr>
      <w:tr w:rsidR="003855FD" w:rsidRPr="0073029B" w14:paraId="42DCA6FA" w14:textId="77777777" w:rsidTr="004D2834">
        <w:trPr>
          <w:trHeight w:val="1104"/>
        </w:trPr>
        <w:tc>
          <w:tcPr>
            <w:tcW w:w="1463" w:type="pct"/>
            <w:gridSpan w:val="2"/>
            <w:shd w:val="clear" w:color="auto" w:fill="auto"/>
            <w:hideMark/>
          </w:tcPr>
          <w:p w14:paraId="38B3120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537" w:type="pct"/>
            <w:shd w:val="clear" w:color="auto" w:fill="auto"/>
            <w:hideMark/>
          </w:tcPr>
          <w:p w14:paraId="48C82FC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68%</w:t>
            </w:r>
            <w:r w:rsidRPr="0073029B">
              <w:rPr>
                <w:rFonts w:eastAsia="Times New Roman" w:cs="Tahoma"/>
                <w:color w:val="000000"/>
                <w:szCs w:val="16"/>
                <w:lang w:eastAsia="es-CR"/>
              </w:rPr>
              <w:br/>
            </w:r>
            <w:r w:rsidRPr="0073029B">
              <w:rPr>
                <w:rFonts w:eastAsia="Times New Roman" w:cs="Tahoma"/>
                <w:color w:val="000000"/>
                <w:szCs w:val="16"/>
                <w:lang w:eastAsia="es-CR"/>
              </w:rPr>
              <w:br/>
              <w:t>2023: 62%</w:t>
            </w:r>
            <w:r w:rsidRPr="0073029B">
              <w:rPr>
                <w:rFonts w:eastAsia="Times New Roman" w:cs="Tahoma"/>
                <w:color w:val="000000"/>
                <w:szCs w:val="16"/>
                <w:lang w:eastAsia="es-CR"/>
              </w:rPr>
              <w:br/>
              <w:t>2024: 64%</w:t>
            </w:r>
            <w:r w:rsidRPr="0073029B">
              <w:rPr>
                <w:rFonts w:eastAsia="Times New Roman" w:cs="Tahoma"/>
                <w:color w:val="000000"/>
                <w:szCs w:val="16"/>
                <w:lang w:eastAsia="es-CR"/>
              </w:rPr>
              <w:br/>
              <w:t>2025: 66%</w:t>
            </w:r>
            <w:r w:rsidRPr="0073029B">
              <w:rPr>
                <w:rFonts w:eastAsia="Times New Roman" w:cs="Tahoma"/>
                <w:color w:val="000000"/>
                <w:szCs w:val="16"/>
                <w:lang w:eastAsia="es-CR"/>
              </w:rPr>
              <w:br/>
              <w:t>2026: 68%</w:t>
            </w:r>
          </w:p>
        </w:tc>
      </w:tr>
      <w:tr w:rsidR="003855FD" w:rsidRPr="0073029B" w14:paraId="5743211F" w14:textId="77777777" w:rsidTr="004D2834">
        <w:trPr>
          <w:trHeight w:val="516"/>
        </w:trPr>
        <w:tc>
          <w:tcPr>
            <w:tcW w:w="1463" w:type="pct"/>
            <w:gridSpan w:val="2"/>
            <w:shd w:val="clear" w:color="auto" w:fill="auto"/>
            <w:hideMark/>
          </w:tcPr>
          <w:p w14:paraId="25FE909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w:t>
            </w:r>
            <w:r w:rsidRPr="0073029B">
              <w:rPr>
                <w:rFonts w:eastAsia="Times New Roman" w:cs="Tahoma"/>
                <w:b/>
                <w:bCs/>
                <w:color w:val="000000"/>
                <w:szCs w:val="16"/>
                <w:lang w:eastAsia="es-CR"/>
              </w:rPr>
              <w:br/>
              <w:t>seguimiento</w:t>
            </w:r>
          </w:p>
        </w:tc>
        <w:tc>
          <w:tcPr>
            <w:tcW w:w="3537" w:type="pct"/>
            <w:shd w:val="clear" w:color="auto" w:fill="auto"/>
            <w:hideMark/>
          </w:tcPr>
          <w:p w14:paraId="31FD236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Anual</w:t>
            </w:r>
          </w:p>
        </w:tc>
      </w:tr>
      <w:tr w:rsidR="003855FD" w:rsidRPr="0073029B" w14:paraId="50C65ABA" w14:textId="77777777" w:rsidTr="004D2834">
        <w:trPr>
          <w:trHeight w:val="274"/>
        </w:trPr>
        <w:tc>
          <w:tcPr>
            <w:tcW w:w="1463" w:type="pct"/>
            <w:gridSpan w:val="2"/>
            <w:shd w:val="clear" w:color="auto" w:fill="auto"/>
            <w:hideMark/>
          </w:tcPr>
          <w:p w14:paraId="455A76C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37" w:type="pct"/>
            <w:shd w:val="clear" w:color="auto" w:fill="auto"/>
            <w:hideMark/>
          </w:tcPr>
          <w:p w14:paraId="3A8BAC4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Dirección General de Migración y Extranjería. </w:t>
            </w:r>
          </w:p>
          <w:p w14:paraId="1B5DD10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Dirección de la Policía Profesional de Migración, registro en Excel del ingreso de personas extranjeras en estado de irregularidad a los Centros de Atención Temporal.</w:t>
            </w:r>
          </w:p>
          <w:p w14:paraId="7929B9B5"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Gestión de Extranjería, Sistema Integrado de Extranjeros (SINEX), Reporte de solicitudes de refugio (expedientes abiertos). Unidad de Refugio, reporte de solicitud de citas para refugio primera vez y reporte de asistencia a las citas agendadas para refugio primera vez.</w:t>
            </w:r>
          </w:p>
        </w:tc>
      </w:tr>
      <w:tr w:rsidR="003855FD" w:rsidRPr="0073029B" w14:paraId="5C4F6BFF" w14:textId="77777777" w:rsidTr="004D2834">
        <w:trPr>
          <w:trHeight w:val="450"/>
        </w:trPr>
        <w:tc>
          <w:tcPr>
            <w:tcW w:w="1463" w:type="pct"/>
            <w:gridSpan w:val="2"/>
            <w:vMerge w:val="restart"/>
            <w:shd w:val="clear" w:color="auto" w:fill="auto"/>
            <w:hideMark/>
          </w:tcPr>
          <w:p w14:paraId="649362B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537" w:type="pct"/>
            <w:vMerge w:val="restart"/>
            <w:shd w:val="clear" w:color="auto" w:fill="auto"/>
            <w:hideMark/>
          </w:tcPr>
          <w:p w14:paraId="053EFBD2"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18BF3024" w14:textId="77777777" w:rsidTr="004D2834">
        <w:trPr>
          <w:trHeight w:val="450"/>
        </w:trPr>
        <w:tc>
          <w:tcPr>
            <w:tcW w:w="1463" w:type="pct"/>
            <w:gridSpan w:val="2"/>
            <w:vMerge/>
            <w:vAlign w:val="center"/>
            <w:hideMark/>
          </w:tcPr>
          <w:p w14:paraId="6DEF0521" w14:textId="77777777" w:rsidR="003855FD" w:rsidRPr="0073029B" w:rsidRDefault="003855FD" w:rsidP="004D2834">
            <w:pPr>
              <w:spacing w:after="0" w:line="240" w:lineRule="auto"/>
              <w:rPr>
                <w:rFonts w:eastAsia="Times New Roman" w:cs="Tahoma"/>
                <w:b/>
                <w:bCs/>
                <w:color w:val="000000"/>
                <w:szCs w:val="16"/>
                <w:lang w:eastAsia="es-CR"/>
              </w:rPr>
            </w:pPr>
          </w:p>
        </w:tc>
        <w:tc>
          <w:tcPr>
            <w:tcW w:w="3537" w:type="pct"/>
            <w:vMerge/>
            <w:vAlign w:val="center"/>
            <w:hideMark/>
          </w:tcPr>
          <w:p w14:paraId="05A4A79F"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19171931" w14:textId="77777777" w:rsidTr="004D2834">
        <w:trPr>
          <w:trHeight w:val="307"/>
        </w:trPr>
        <w:tc>
          <w:tcPr>
            <w:tcW w:w="1463" w:type="pct"/>
            <w:gridSpan w:val="2"/>
            <w:shd w:val="clear" w:color="auto" w:fill="auto"/>
            <w:hideMark/>
          </w:tcPr>
          <w:p w14:paraId="79A6A37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37" w:type="pct"/>
            <w:shd w:val="clear" w:color="auto" w:fill="auto"/>
            <w:hideMark/>
          </w:tcPr>
          <w:p w14:paraId="08D972D5"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Registro administrativo de personas identificadas en los flujos migratorios mixtos que son atendidas con protocolos institucionales.</w:t>
            </w:r>
          </w:p>
        </w:tc>
      </w:tr>
      <w:tr w:rsidR="003855FD" w:rsidRPr="0073029B" w14:paraId="3208CC15" w14:textId="77777777" w:rsidTr="004D2834">
        <w:trPr>
          <w:trHeight w:val="432"/>
        </w:trPr>
        <w:tc>
          <w:tcPr>
            <w:tcW w:w="1463" w:type="pct"/>
            <w:gridSpan w:val="2"/>
            <w:shd w:val="clear" w:color="auto" w:fill="auto"/>
            <w:hideMark/>
          </w:tcPr>
          <w:p w14:paraId="262E2F0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Indicador de Objetivo de Desarrollo Sostenible (ODS) vinculado</w:t>
            </w:r>
          </w:p>
        </w:tc>
        <w:tc>
          <w:tcPr>
            <w:tcW w:w="3537" w:type="pct"/>
            <w:shd w:val="clear" w:color="auto" w:fill="auto"/>
            <w:hideMark/>
          </w:tcPr>
          <w:p w14:paraId="54CF5BF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10: 10.7.2</w:t>
            </w:r>
            <w:r w:rsidRPr="0073029B">
              <w:rPr>
                <w:rFonts w:eastAsia="Times New Roman" w:cs="Tahoma"/>
                <w:color w:val="000000"/>
                <w:szCs w:val="16"/>
                <w:lang w:eastAsia="es-CR"/>
              </w:rPr>
              <w:br/>
              <w:t>5: 5.2.2</w:t>
            </w:r>
          </w:p>
        </w:tc>
      </w:tr>
      <w:tr w:rsidR="003855FD" w:rsidRPr="0073029B" w14:paraId="43B7774E" w14:textId="77777777" w:rsidTr="004D2834">
        <w:trPr>
          <w:trHeight w:val="432"/>
        </w:trPr>
        <w:tc>
          <w:tcPr>
            <w:tcW w:w="1463" w:type="pct"/>
            <w:gridSpan w:val="2"/>
            <w:shd w:val="clear" w:color="auto" w:fill="auto"/>
            <w:hideMark/>
          </w:tcPr>
          <w:p w14:paraId="168A0CE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537" w:type="pct"/>
            <w:shd w:val="clear" w:color="auto" w:fill="auto"/>
            <w:hideMark/>
          </w:tcPr>
          <w:p w14:paraId="491EF55B"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6D74CF52" w14:textId="77777777" w:rsidTr="004D2834">
        <w:trPr>
          <w:trHeight w:val="432"/>
        </w:trPr>
        <w:tc>
          <w:tcPr>
            <w:tcW w:w="1463" w:type="pct"/>
            <w:gridSpan w:val="2"/>
            <w:shd w:val="clear" w:color="auto" w:fill="auto"/>
            <w:hideMark/>
          </w:tcPr>
          <w:p w14:paraId="7068BD9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 de Montevideo</w:t>
            </w:r>
          </w:p>
        </w:tc>
        <w:tc>
          <w:tcPr>
            <w:tcW w:w="3537" w:type="pct"/>
            <w:shd w:val="clear" w:color="auto" w:fill="auto"/>
            <w:hideMark/>
          </w:tcPr>
          <w:p w14:paraId="7D3ECE1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F: 66, 67, 70, 71, 72, 73</w:t>
            </w:r>
          </w:p>
        </w:tc>
      </w:tr>
      <w:tr w:rsidR="003855FD" w:rsidRPr="0073029B" w14:paraId="31FAC014" w14:textId="77777777" w:rsidTr="004D2834">
        <w:trPr>
          <w:trHeight w:val="432"/>
        </w:trPr>
        <w:tc>
          <w:tcPr>
            <w:tcW w:w="1463" w:type="pct"/>
            <w:gridSpan w:val="2"/>
            <w:shd w:val="clear" w:color="auto" w:fill="auto"/>
            <w:hideMark/>
          </w:tcPr>
          <w:p w14:paraId="354278F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 Desarrollo</w:t>
            </w:r>
          </w:p>
        </w:tc>
        <w:tc>
          <w:tcPr>
            <w:tcW w:w="3537" w:type="pct"/>
            <w:shd w:val="clear" w:color="auto" w:fill="auto"/>
            <w:hideMark/>
          </w:tcPr>
          <w:p w14:paraId="5226B50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No hay vinculación son metas nacionales</w:t>
            </w:r>
          </w:p>
        </w:tc>
      </w:tr>
      <w:tr w:rsidR="003855FD" w:rsidRPr="0073029B" w14:paraId="6C49EA54" w14:textId="77777777" w:rsidTr="004D2834">
        <w:trPr>
          <w:trHeight w:val="2208"/>
        </w:trPr>
        <w:tc>
          <w:tcPr>
            <w:tcW w:w="1463" w:type="pct"/>
            <w:gridSpan w:val="2"/>
            <w:shd w:val="clear" w:color="auto" w:fill="auto"/>
            <w:hideMark/>
          </w:tcPr>
          <w:p w14:paraId="7BA79B8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37" w:type="pct"/>
            <w:shd w:val="clear" w:color="auto" w:fill="auto"/>
            <w:hideMark/>
          </w:tcPr>
          <w:p w14:paraId="68056E57"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Es importante considerar que no toda la población identificada en los flujos migratorios mixtos opta por una condición de protección o regularización migratoria, por tanto, no todos son atendidos, esto depende del interés de la persona migrante. Los flujos migratorios se mantienen constantes hasta la fecha, lo que evidencia la característica de Costa Rica de país receptor por excelencia.</w:t>
            </w:r>
          </w:p>
          <w:p w14:paraId="3366EEBA"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Supuestos: las proyecciones de las metas están amparadas en el comportamiento a partir del 2019. Los desplazamientos migratorios son un fenómeno social cambiante que depende de la realidad vivida en otros países y al incremento de los factores expulsores de los países de origen, estas situaciones provocan incertidumbre en el comportamiento del fenómeno migratorio en Costa Rica. El cumplimiento de esta meta está sujeto a la disponibilidad del presupuesto solicitado, recurso humano y equipo.</w:t>
            </w:r>
          </w:p>
          <w:p w14:paraId="0EE1175C"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Notas Técnicas: los movimientos de migración son un fenómeno social cambiante que depende de la realidad vivida en otros países y ese comportamiento de los flujos migratorios es incierto.</w:t>
            </w:r>
          </w:p>
        </w:tc>
      </w:tr>
      <w:tr w:rsidR="003855FD" w:rsidRPr="0073029B" w14:paraId="0A3134FA" w14:textId="77777777" w:rsidTr="004D2834">
        <w:trPr>
          <w:trHeight w:val="372"/>
        </w:trPr>
        <w:tc>
          <w:tcPr>
            <w:tcW w:w="1463" w:type="pct"/>
            <w:gridSpan w:val="2"/>
            <w:shd w:val="clear" w:color="auto" w:fill="003A70"/>
            <w:hideMark/>
          </w:tcPr>
          <w:p w14:paraId="6AAF846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537" w:type="pct"/>
            <w:shd w:val="clear" w:color="auto" w:fill="auto"/>
            <w:hideMark/>
          </w:tcPr>
          <w:p w14:paraId="6A779F9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b/>
                <w:color w:val="000000"/>
                <w:szCs w:val="16"/>
                <w:lang w:eastAsia="es-CR"/>
              </w:rPr>
              <w:t>2024:</w:t>
            </w:r>
            <w:r w:rsidRPr="0073029B">
              <w:rPr>
                <w:rFonts w:eastAsia="Times New Roman" w:cs="Tahoma"/>
                <w:color w:val="000000"/>
                <w:szCs w:val="16"/>
                <w:lang w:eastAsia="es-CR"/>
              </w:rPr>
              <w:t xml:space="preserve"> Se modificó el nombre, definición conceptual la fórmula de cálculo, componentes involucrados en la fórmula del cálculo, la fuente de información y el tipo de operación estadística. Oficio de aprobación MIDEPLAN-DVM-OF-0502-2024 (rige a partir de 2025).</w:t>
            </w:r>
          </w:p>
        </w:tc>
      </w:tr>
    </w:tbl>
    <w:p w14:paraId="1CCA103F" w14:textId="77777777" w:rsidR="003855FD" w:rsidRPr="0073029B" w:rsidRDefault="003855FD" w:rsidP="003855FD">
      <w:pPr>
        <w:pStyle w:val="Default"/>
        <w:rPr>
          <w:rFonts w:ascii="Tahoma" w:eastAsia="Arial Narrow" w:hAnsi="Tahoma" w:cs="Tahoma"/>
          <w:sz w:val="16"/>
          <w:szCs w:val="16"/>
        </w:rPr>
      </w:pPr>
      <w:r w:rsidRPr="0073029B">
        <w:rPr>
          <w:rFonts w:ascii="Tahoma" w:eastAsia="Arial Narrow" w:hAnsi="Tahoma" w:cs="Tahoma"/>
          <w:sz w:val="16"/>
          <w:szCs w:val="16"/>
        </w:rPr>
        <w:t xml:space="preserve">Fuente: </w:t>
      </w:r>
      <w:r w:rsidRPr="0073029B">
        <w:rPr>
          <w:rFonts w:ascii="Tahoma" w:hAnsi="Tahoma" w:cs="Tahoma"/>
          <w:sz w:val="16"/>
          <w:szCs w:val="16"/>
        </w:rPr>
        <w:t>Dirección General de Migración y Extranjería.</w:t>
      </w:r>
    </w:p>
    <w:p w14:paraId="0EDE07EC" w14:textId="77777777" w:rsidR="003855FD" w:rsidRPr="0073029B" w:rsidRDefault="003855FD" w:rsidP="003855FD">
      <w:pPr>
        <w:pStyle w:val="Default"/>
        <w:spacing w:line="276" w:lineRule="auto"/>
        <w:jc w:val="both"/>
        <w:rPr>
          <w:rFonts w:ascii="Tahoma" w:eastAsia="Arial Narrow" w:hAnsi="Tahoma" w:cs="Tahoma"/>
          <w:b/>
          <w:sz w:val="18"/>
          <w:szCs w:val="16"/>
          <w:u w:val="single"/>
        </w:rPr>
      </w:pPr>
    </w:p>
    <w:p w14:paraId="76E2A3B3" w14:textId="77777777" w:rsidR="003855FD" w:rsidRPr="0073029B" w:rsidRDefault="003855FD" w:rsidP="003855FD">
      <w:pPr>
        <w:pStyle w:val="Default"/>
        <w:spacing w:line="276" w:lineRule="auto"/>
        <w:jc w:val="both"/>
        <w:rPr>
          <w:rFonts w:ascii="Tahoma" w:eastAsia="Arial Narrow" w:hAnsi="Tahoma" w:cs="Tahoma"/>
          <w:sz w:val="18"/>
          <w:szCs w:val="16"/>
          <w:u w:val="single"/>
        </w:rPr>
      </w:pPr>
      <w:r w:rsidRPr="0073029B">
        <w:rPr>
          <w:rFonts w:ascii="Tahoma" w:eastAsia="Arial Narrow" w:hAnsi="Tahoma" w:cs="Tahoma"/>
          <w:b/>
          <w:sz w:val="18"/>
          <w:szCs w:val="16"/>
          <w:u w:val="single"/>
        </w:rPr>
        <w:t>Intervención Pública 4.</w:t>
      </w:r>
      <w:r w:rsidRPr="0073029B">
        <w:rPr>
          <w:rFonts w:ascii="Tahoma" w:eastAsia="Arial Narrow" w:hAnsi="Tahoma" w:cs="Tahoma"/>
          <w:sz w:val="18"/>
          <w:szCs w:val="16"/>
          <w:u w:val="single"/>
        </w:rPr>
        <w:t xml:space="preserve"> Abordaje integral de víctimas de trata de personas.</w:t>
      </w:r>
    </w:p>
    <w:p w14:paraId="6FAF085B" w14:textId="77777777" w:rsidR="003855FD" w:rsidRPr="0073029B" w:rsidRDefault="003855FD" w:rsidP="003855FD">
      <w:pPr>
        <w:pStyle w:val="Default"/>
        <w:spacing w:line="276" w:lineRule="auto"/>
        <w:jc w:val="both"/>
        <w:rPr>
          <w:rFonts w:ascii="Tahoma" w:eastAsia="Arial Narrow" w:hAnsi="Tahoma" w:cs="Tahoma"/>
          <w:sz w:val="18"/>
          <w:szCs w:val="16"/>
        </w:rPr>
      </w:pPr>
    </w:p>
    <w:p w14:paraId="28E06E7D" w14:textId="77777777" w:rsidR="003855FD" w:rsidRPr="0073029B" w:rsidRDefault="003855FD" w:rsidP="003855FD">
      <w:pPr>
        <w:pStyle w:val="Default"/>
        <w:spacing w:line="276" w:lineRule="auto"/>
        <w:jc w:val="both"/>
        <w:rPr>
          <w:rFonts w:ascii="Tahoma" w:eastAsia="Arial Narrow" w:hAnsi="Tahoma" w:cs="Tahoma"/>
          <w:sz w:val="18"/>
          <w:szCs w:val="16"/>
        </w:rPr>
      </w:pPr>
      <w:r w:rsidRPr="0073029B">
        <w:rPr>
          <w:rFonts w:ascii="Tahoma" w:eastAsia="Arial Narrow" w:hAnsi="Tahoma" w:cs="Tahoma"/>
          <w:b/>
          <w:sz w:val="18"/>
          <w:szCs w:val="16"/>
        </w:rPr>
        <w:t>Objetivo 4.1</w:t>
      </w:r>
      <w:r w:rsidRPr="0073029B">
        <w:rPr>
          <w:rFonts w:ascii="Tahoma" w:eastAsia="Arial Narrow" w:hAnsi="Tahoma" w:cs="Tahoma"/>
          <w:sz w:val="18"/>
          <w:szCs w:val="16"/>
        </w:rPr>
        <w:t xml:space="preserve"> Garantizar la atención integral a personas víctimas de trata acreditadas mediante programas especializados y sostenibles en el tiempo.</w:t>
      </w:r>
    </w:p>
    <w:p w14:paraId="44FB8CBF" w14:textId="77777777" w:rsidR="003855FD" w:rsidRPr="0073029B" w:rsidRDefault="003855FD"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1249"/>
        <w:gridCol w:w="6595"/>
      </w:tblGrid>
      <w:tr w:rsidR="003855FD" w:rsidRPr="0073029B" w14:paraId="3B9737E8" w14:textId="77777777" w:rsidTr="004D2834">
        <w:trPr>
          <w:trHeight w:val="228"/>
          <w:tblHeader/>
        </w:trPr>
        <w:tc>
          <w:tcPr>
            <w:tcW w:w="1463" w:type="pct"/>
            <w:gridSpan w:val="2"/>
            <w:shd w:val="clear" w:color="auto" w:fill="003A70"/>
            <w:vAlign w:val="center"/>
            <w:hideMark/>
          </w:tcPr>
          <w:p w14:paraId="01536557"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537" w:type="pct"/>
            <w:shd w:val="clear" w:color="auto" w:fill="003A70"/>
            <w:vAlign w:val="center"/>
            <w:hideMark/>
          </w:tcPr>
          <w:p w14:paraId="776367EF"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A.4.1.1</w:t>
            </w:r>
          </w:p>
        </w:tc>
      </w:tr>
      <w:tr w:rsidR="003855FD" w:rsidRPr="0073029B" w14:paraId="15C257C0" w14:textId="77777777" w:rsidTr="004D2834">
        <w:trPr>
          <w:trHeight w:val="288"/>
          <w:tblHeader/>
        </w:trPr>
        <w:tc>
          <w:tcPr>
            <w:tcW w:w="1463" w:type="pct"/>
            <w:gridSpan w:val="2"/>
            <w:shd w:val="clear" w:color="000000" w:fill="D9D9D9"/>
            <w:vAlign w:val="center"/>
            <w:hideMark/>
          </w:tcPr>
          <w:p w14:paraId="33489CDE"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37" w:type="pct"/>
            <w:shd w:val="clear" w:color="000000" w:fill="D9D9D9"/>
            <w:vAlign w:val="center"/>
            <w:hideMark/>
          </w:tcPr>
          <w:p w14:paraId="03B6C579"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3E0F8C07" w14:textId="77777777" w:rsidTr="004D2834">
        <w:trPr>
          <w:trHeight w:val="383"/>
        </w:trPr>
        <w:tc>
          <w:tcPr>
            <w:tcW w:w="1463" w:type="pct"/>
            <w:gridSpan w:val="2"/>
            <w:shd w:val="clear" w:color="auto" w:fill="003A70"/>
            <w:hideMark/>
          </w:tcPr>
          <w:p w14:paraId="5BAD1B58"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537" w:type="pct"/>
            <w:shd w:val="clear" w:color="auto" w:fill="003A70"/>
            <w:hideMark/>
          </w:tcPr>
          <w:p w14:paraId="1AFEDA75" w14:textId="77777777" w:rsidR="003855FD" w:rsidRPr="0073029B" w:rsidRDefault="003855FD" w:rsidP="004D2834">
            <w:pPr>
              <w:spacing w:after="0"/>
              <w:jc w:val="both"/>
              <w:rPr>
                <w:rFonts w:cs="Tahoma"/>
                <w:b/>
                <w:lang w:eastAsia="es-CR"/>
              </w:rPr>
            </w:pPr>
            <w:bookmarkStart w:id="67" w:name="_Toc202257795"/>
            <w:r w:rsidRPr="0073029B">
              <w:rPr>
                <w:rFonts w:cs="Tahoma"/>
                <w:b/>
                <w:lang w:eastAsia="es-CR"/>
              </w:rPr>
              <w:t>A.4.1.1 Porcentaje de personas víctimas de trata acreditadas que son abordadas en procesos de atención secundaria.</w:t>
            </w:r>
            <w:bookmarkEnd w:id="67"/>
          </w:p>
        </w:tc>
      </w:tr>
      <w:tr w:rsidR="003855FD" w:rsidRPr="0073029B" w14:paraId="27043054" w14:textId="77777777" w:rsidTr="004D2834">
        <w:trPr>
          <w:trHeight w:val="727"/>
        </w:trPr>
        <w:tc>
          <w:tcPr>
            <w:tcW w:w="1463" w:type="pct"/>
            <w:gridSpan w:val="2"/>
            <w:shd w:val="clear" w:color="auto" w:fill="auto"/>
            <w:hideMark/>
          </w:tcPr>
          <w:p w14:paraId="757BB3F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37" w:type="pct"/>
            <w:shd w:val="clear" w:color="auto" w:fill="auto"/>
            <w:hideMark/>
          </w:tcPr>
          <w:p w14:paraId="25B5141B"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El rescate y la atención de las víctimas acreditadas es un asunto de primer orden. La acreditación de la víctima es importante para proceder con la atención respectiva. En este sentido, se entenderá como víctima acreditada a aquella persona que el Equipo de Respuesta Inmediata (ERI) la ha declarado como tal luego de un proceso de estudio. A estas víctimas se les brinda la atención primaria y secundaria. La primaria implica las acciones inmediatas de asistencia, que incluye atención y protección, así como alojamiento seguro, atención integral de salud, asesoría legal y medidas de protección física a una persona víctima del delito de trata de personas. Asimismo, las medidas de atención secundaria integral comprenden acciones a corto, mediano y largo plazo dirigidas a facilitar el proceso de atención y protección de la persona víctima del delito de trata de personas y sus dependientes, lo que incluye, cuando corresponda, la repatriación voluntaria a su país de origen o residencia o su reasentamiento en un tercer país. En caso de que la persona víctima decida quedarse en Costa Rica, estas medidas incluyen asistencia económica, acceso al trabajo y la educación formal y vocacional, definición del estatus migratorio y dotación de la documentación, asistencia médica y psicológica prolongada, cuando se requiera; lo anterior, en procura de la adecuada reintegración social. (Ley 9095).</w:t>
            </w:r>
          </w:p>
          <w:p w14:paraId="2ED11AF7" w14:textId="77777777" w:rsidR="003855FD" w:rsidRPr="0073029B" w:rsidRDefault="003855FD" w:rsidP="004D2834">
            <w:pPr>
              <w:spacing w:after="0" w:line="240" w:lineRule="auto"/>
              <w:jc w:val="both"/>
              <w:rPr>
                <w:rFonts w:eastAsia="Times New Roman" w:cs="Tahoma"/>
                <w:color w:val="000000"/>
                <w:szCs w:val="16"/>
                <w:lang w:eastAsia="es-CR"/>
              </w:rPr>
            </w:pPr>
          </w:p>
        </w:tc>
      </w:tr>
      <w:tr w:rsidR="003855FD" w:rsidRPr="0073029B" w14:paraId="057434E7" w14:textId="77777777" w:rsidTr="004D2834">
        <w:trPr>
          <w:trHeight w:val="489"/>
        </w:trPr>
        <w:tc>
          <w:tcPr>
            <w:tcW w:w="1463" w:type="pct"/>
            <w:gridSpan w:val="2"/>
            <w:shd w:val="clear" w:color="auto" w:fill="auto"/>
            <w:hideMark/>
          </w:tcPr>
          <w:p w14:paraId="66BEBBA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537" w:type="pct"/>
            <w:shd w:val="clear" w:color="auto" w:fill="auto"/>
            <w:hideMark/>
          </w:tcPr>
          <w:p w14:paraId="3E31541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(Total de personas víctimas de trata acreditadas que son abordadas en procesos de atención secundaria/Total de personas posibles víctimas de trata identificadas) *100</w:t>
            </w:r>
          </w:p>
        </w:tc>
      </w:tr>
      <w:tr w:rsidR="003855FD" w:rsidRPr="0073029B" w14:paraId="4353AD8D" w14:textId="77777777" w:rsidTr="004D2834">
        <w:trPr>
          <w:trHeight w:val="160"/>
        </w:trPr>
        <w:tc>
          <w:tcPr>
            <w:tcW w:w="1463" w:type="pct"/>
            <w:gridSpan w:val="2"/>
            <w:shd w:val="clear" w:color="auto" w:fill="auto"/>
            <w:hideMark/>
          </w:tcPr>
          <w:p w14:paraId="561E320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Componentes involucrados en la fórmula del cálculo</w:t>
            </w:r>
          </w:p>
        </w:tc>
        <w:tc>
          <w:tcPr>
            <w:tcW w:w="3537" w:type="pct"/>
            <w:shd w:val="clear" w:color="auto" w:fill="auto"/>
            <w:hideMark/>
          </w:tcPr>
          <w:p w14:paraId="5F71DB2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Los componentes de la formula son los siguientes:</w:t>
            </w:r>
          </w:p>
          <w:p w14:paraId="2DF26D1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-Personas víctimas de trata acreditadas que son abordadas en procesos de atención secundaria</w:t>
            </w:r>
          </w:p>
          <w:p w14:paraId="4850157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 xml:space="preserve">-Personas </w:t>
            </w:r>
            <w:proofErr w:type="spellStart"/>
            <w:r w:rsidRPr="0073029B">
              <w:rPr>
                <w:rFonts w:eastAsia="Times New Roman" w:cs="Tahoma"/>
                <w:color w:val="000000"/>
                <w:szCs w:val="16"/>
                <w:lang w:eastAsia="es-CR"/>
              </w:rPr>
              <w:t>posiblesvíctimas</w:t>
            </w:r>
            <w:proofErr w:type="spellEnd"/>
            <w:r w:rsidRPr="0073029B">
              <w:rPr>
                <w:rFonts w:eastAsia="Times New Roman" w:cs="Tahoma"/>
                <w:color w:val="000000"/>
                <w:szCs w:val="16"/>
                <w:lang w:eastAsia="es-CR"/>
              </w:rPr>
              <w:t xml:space="preserve"> de trata identificadas</w:t>
            </w:r>
          </w:p>
        </w:tc>
      </w:tr>
      <w:tr w:rsidR="003855FD" w:rsidRPr="0073029B" w14:paraId="6AA35426" w14:textId="77777777" w:rsidTr="004D2834">
        <w:trPr>
          <w:trHeight w:val="276"/>
        </w:trPr>
        <w:tc>
          <w:tcPr>
            <w:tcW w:w="1463" w:type="pct"/>
            <w:gridSpan w:val="2"/>
            <w:shd w:val="clear" w:color="auto" w:fill="auto"/>
            <w:hideMark/>
          </w:tcPr>
          <w:p w14:paraId="7C35CCB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37" w:type="pct"/>
            <w:shd w:val="clear" w:color="auto" w:fill="auto"/>
            <w:hideMark/>
          </w:tcPr>
          <w:p w14:paraId="36FB882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Porcentaje</w:t>
            </w:r>
          </w:p>
        </w:tc>
      </w:tr>
      <w:tr w:rsidR="003855FD" w:rsidRPr="0073029B" w14:paraId="5EA76AFC" w14:textId="77777777" w:rsidTr="004D2834">
        <w:trPr>
          <w:trHeight w:val="450"/>
        </w:trPr>
        <w:tc>
          <w:tcPr>
            <w:tcW w:w="1463" w:type="pct"/>
            <w:gridSpan w:val="2"/>
            <w:vMerge w:val="restart"/>
            <w:shd w:val="clear" w:color="auto" w:fill="auto"/>
            <w:hideMark/>
          </w:tcPr>
          <w:p w14:paraId="16E02C0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37" w:type="pct"/>
            <w:vMerge w:val="restart"/>
            <w:shd w:val="clear" w:color="auto" w:fill="auto"/>
            <w:hideMark/>
          </w:tcPr>
          <w:p w14:paraId="31066D9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La Coalición Nacional contra el Tráfico Ilícito de Migrantes y la Trata de Personas (CONATT) logró brindarles atención primaria y secundaria a las víctimas de trata de personas debidamente acreditas como tales, con lo cual se protegen y resguardan sus derechos.</w:t>
            </w:r>
          </w:p>
        </w:tc>
      </w:tr>
      <w:tr w:rsidR="003855FD" w:rsidRPr="0073029B" w14:paraId="4CD2AA4D" w14:textId="77777777" w:rsidTr="004D2834">
        <w:trPr>
          <w:trHeight w:val="450"/>
        </w:trPr>
        <w:tc>
          <w:tcPr>
            <w:tcW w:w="1463" w:type="pct"/>
            <w:gridSpan w:val="2"/>
            <w:vMerge/>
            <w:vAlign w:val="center"/>
            <w:hideMark/>
          </w:tcPr>
          <w:p w14:paraId="57C02EAC" w14:textId="77777777" w:rsidR="003855FD" w:rsidRPr="0073029B" w:rsidRDefault="003855FD" w:rsidP="004D2834">
            <w:pPr>
              <w:spacing w:after="0" w:line="240" w:lineRule="auto"/>
              <w:rPr>
                <w:rFonts w:eastAsia="Times New Roman" w:cs="Tahoma"/>
                <w:b/>
                <w:bCs/>
                <w:color w:val="000000"/>
                <w:szCs w:val="16"/>
                <w:lang w:eastAsia="es-CR"/>
              </w:rPr>
            </w:pPr>
          </w:p>
        </w:tc>
        <w:tc>
          <w:tcPr>
            <w:tcW w:w="3537" w:type="pct"/>
            <w:vMerge/>
            <w:vAlign w:val="center"/>
            <w:hideMark/>
          </w:tcPr>
          <w:p w14:paraId="02CB5042"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5C7FA4DB" w14:textId="77777777" w:rsidTr="004D2834">
        <w:trPr>
          <w:trHeight w:val="288"/>
        </w:trPr>
        <w:tc>
          <w:tcPr>
            <w:tcW w:w="793" w:type="pct"/>
            <w:vMerge w:val="restart"/>
            <w:shd w:val="clear" w:color="auto" w:fill="auto"/>
            <w:hideMark/>
          </w:tcPr>
          <w:p w14:paraId="48DC19E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70" w:type="pct"/>
            <w:shd w:val="clear" w:color="auto" w:fill="auto"/>
            <w:hideMark/>
          </w:tcPr>
          <w:p w14:paraId="3EDA79C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37" w:type="pct"/>
            <w:shd w:val="clear" w:color="auto" w:fill="auto"/>
            <w:hideMark/>
          </w:tcPr>
          <w:p w14:paraId="5E7F80D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w:t>
            </w:r>
          </w:p>
        </w:tc>
      </w:tr>
      <w:tr w:rsidR="003855FD" w:rsidRPr="0073029B" w14:paraId="76D0802F" w14:textId="77777777" w:rsidTr="004D2834">
        <w:trPr>
          <w:trHeight w:val="288"/>
        </w:trPr>
        <w:tc>
          <w:tcPr>
            <w:tcW w:w="793" w:type="pct"/>
            <w:vMerge/>
            <w:vAlign w:val="center"/>
            <w:hideMark/>
          </w:tcPr>
          <w:p w14:paraId="27E44817" w14:textId="77777777" w:rsidR="003855FD" w:rsidRPr="0073029B" w:rsidRDefault="003855FD" w:rsidP="004D2834">
            <w:pPr>
              <w:spacing w:after="0" w:line="240" w:lineRule="auto"/>
              <w:rPr>
                <w:rFonts w:eastAsia="Times New Roman" w:cs="Tahoma"/>
                <w:b/>
                <w:bCs/>
                <w:color w:val="000000"/>
                <w:szCs w:val="16"/>
                <w:lang w:eastAsia="es-CR"/>
              </w:rPr>
            </w:pPr>
          </w:p>
        </w:tc>
        <w:tc>
          <w:tcPr>
            <w:tcW w:w="670" w:type="pct"/>
            <w:shd w:val="clear" w:color="auto" w:fill="auto"/>
            <w:hideMark/>
          </w:tcPr>
          <w:p w14:paraId="7BAE6EB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37" w:type="pct"/>
            <w:shd w:val="clear" w:color="auto" w:fill="auto"/>
            <w:hideMark/>
          </w:tcPr>
          <w:p w14:paraId="6DDA9D46"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Trata de personas</w:t>
            </w:r>
          </w:p>
        </w:tc>
      </w:tr>
      <w:tr w:rsidR="003855FD" w:rsidRPr="0073029B" w14:paraId="739AC516" w14:textId="77777777" w:rsidTr="004D2834">
        <w:trPr>
          <w:trHeight w:val="288"/>
        </w:trPr>
        <w:tc>
          <w:tcPr>
            <w:tcW w:w="1463" w:type="pct"/>
            <w:gridSpan w:val="2"/>
            <w:shd w:val="clear" w:color="auto" w:fill="auto"/>
            <w:hideMark/>
          </w:tcPr>
          <w:p w14:paraId="37D291B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537" w:type="pct"/>
            <w:shd w:val="clear" w:color="auto" w:fill="auto"/>
            <w:hideMark/>
          </w:tcPr>
          <w:p w14:paraId="242D296B"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75%</w:t>
            </w:r>
          </w:p>
        </w:tc>
      </w:tr>
      <w:tr w:rsidR="003855FD" w:rsidRPr="0073029B" w14:paraId="33CF3AEE" w14:textId="77777777" w:rsidTr="004D2834">
        <w:trPr>
          <w:trHeight w:val="1104"/>
        </w:trPr>
        <w:tc>
          <w:tcPr>
            <w:tcW w:w="1463" w:type="pct"/>
            <w:gridSpan w:val="2"/>
            <w:shd w:val="clear" w:color="auto" w:fill="auto"/>
            <w:hideMark/>
          </w:tcPr>
          <w:p w14:paraId="1387C75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537" w:type="pct"/>
            <w:shd w:val="clear" w:color="auto" w:fill="auto"/>
            <w:hideMark/>
          </w:tcPr>
          <w:p w14:paraId="5AF63EAC"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79%</w:t>
            </w:r>
            <w:r w:rsidRPr="0073029B">
              <w:rPr>
                <w:rFonts w:eastAsia="Times New Roman" w:cs="Tahoma"/>
                <w:color w:val="000000"/>
                <w:szCs w:val="16"/>
                <w:lang w:eastAsia="es-CR"/>
              </w:rPr>
              <w:br/>
            </w:r>
            <w:r w:rsidRPr="0073029B">
              <w:rPr>
                <w:rFonts w:eastAsia="Times New Roman" w:cs="Tahoma"/>
                <w:color w:val="000000"/>
                <w:szCs w:val="16"/>
                <w:lang w:eastAsia="es-CR"/>
              </w:rPr>
              <w:br/>
              <w:t>2023: 76%</w:t>
            </w:r>
            <w:r w:rsidRPr="0073029B">
              <w:rPr>
                <w:rFonts w:eastAsia="Times New Roman" w:cs="Tahoma"/>
                <w:color w:val="000000"/>
                <w:szCs w:val="16"/>
                <w:lang w:eastAsia="es-CR"/>
              </w:rPr>
              <w:br/>
              <w:t>2024: 77%</w:t>
            </w:r>
            <w:r w:rsidRPr="0073029B">
              <w:rPr>
                <w:rFonts w:eastAsia="Times New Roman" w:cs="Tahoma"/>
                <w:color w:val="000000"/>
                <w:szCs w:val="16"/>
                <w:lang w:eastAsia="es-CR"/>
              </w:rPr>
              <w:br/>
              <w:t>2025: 78%</w:t>
            </w:r>
            <w:r w:rsidRPr="0073029B">
              <w:rPr>
                <w:rFonts w:eastAsia="Times New Roman" w:cs="Tahoma"/>
                <w:color w:val="000000"/>
                <w:szCs w:val="16"/>
                <w:lang w:eastAsia="es-CR"/>
              </w:rPr>
              <w:br/>
              <w:t>2026: 79%</w:t>
            </w:r>
          </w:p>
        </w:tc>
      </w:tr>
      <w:tr w:rsidR="003855FD" w:rsidRPr="0073029B" w14:paraId="348CFAFC" w14:textId="77777777" w:rsidTr="004D2834">
        <w:trPr>
          <w:trHeight w:val="516"/>
        </w:trPr>
        <w:tc>
          <w:tcPr>
            <w:tcW w:w="1463" w:type="pct"/>
            <w:gridSpan w:val="2"/>
            <w:shd w:val="clear" w:color="auto" w:fill="auto"/>
            <w:hideMark/>
          </w:tcPr>
          <w:p w14:paraId="30148C4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w:t>
            </w:r>
            <w:r w:rsidRPr="0073029B">
              <w:rPr>
                <w:rFonts w:eastAsia="Times New Roman" w:cs="Tahoma"/>
                <w:b/>
                <w:bCs/>
                <w:color w:val="000000"/>
                <w:szCs w:val="16"/>
                <w:lang w:eastAsia="es-CR"/>
              </w:rPr>
              <w:br/>
              <w:t>seguimiento</w:t>
            </w:r>
          </w:p>
        </w:tc>
        <w:tc>
          <w:tcPr>
            <w:tcW w:w="3537" w:type="pct"/>
            <w:shd w:val="clear" w:color="auto" w:fill="auto"/>
            <w:hideMark/>
          </w:tcPr>
          <w:p w14:paraId="1F55AAF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Anual, semestral</w:t>
            </w:r>
          </w:p>
        </w:tc>
      </w:tr>
      <w:tr w:rsidR="003855FD" w:rsidRPr="0073029B" w14:paraId="4E9AA0D3" w14:textId="77777777" w:rsidTr="004D2834">
        <w:trPr>
          <w:trHeight w:val="275"/>
        </w:trPr>
        <w:tc>
          <w:tcPr>
            <w:tcW w:w="1463" w:type="pct"/>
            <w:gridSpan w:val="2"/>
            <w:shd w:val="clear" w:color="auto" w:fill="auto"/>
            <w:hideMark/>
          </w:tcPr>
          <w:p w14:paraId="1F8557F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37" w:type="pct"/>
            <w:shd w:val="clear" w:color="auto" w:fill="auto"/>
            <w:hideMark/>
          </w:tcPr>
          <w:p w14:paraId="598B431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Dirección General de Migración y Extranjería. Gestión de Trata de Personas y Tráfico Ilícito de Migrantes. Informes estadísticos del Equipo de Respuesta Inmediata.</w:t>
            </w:r>
          </w:p>
        </w:tc>
      </w:tr>
      <w:tr w:rsidR="003855FD" w:rsidRPr="0073029B" w14:paraId="5CF2F9F1" w14:textId="77777777" w:rsidTr="004D2834">
        <w:trPr>
          <w:trHeight w:val="450"/>
        </w:trPr>
        <w:tc>
          <w:tcPr>
            <w:tcW w:w="1463" w:type="pct"/>
            <w:gridSpan w:val="2"/>
            <w:vMerge w:val="restart"/>
            <w:shd w:val="clear" w:color="auto" w:fill="auto"/>
            <w:hideMark/>
          </w:tcPr>
          <w:p w14:paraId="1D18B11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537" w:type="pct"/>
            <w:vMerge w:val="restart"/>
            <w:shd w:val="clear" w:color="auto" w:fill="auto"/>
            <w:hideMark/>
          </w:tcPr>
          <w:p w14:paraId="574DC106"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43C7630A" w14:textId="77777777" w:rsidTr="004D2834">
        <w:trPr>
          <w:trHeight w:val="450"/>
        </w:trPr>
        <w:tc>
          <w:tcPr>
            <w:tcW w:w="1463" w:type="pct"/>
            <w:gridSpan w:val="2"/>
            <w:vMerge/>
            <w:vAlign w:val="center"/>
            <w:hideMark/>
          </w:tcPr>
          <w:p w14:paraId="706B6891" w14:textId="77777777" w:rsidR="003855FD" w:rsidRPr="0073029B" w:rsidRDefault="003855FD" w:rsidP="004D2834">
            <w:pPr>
              <w:spacing w:after="0" w:line="240" w:lineRule="auto"/>
              <w:rPr>
                <w:rFonts w:eastAsia="Times New Roman" w:cs="Tahoma"/>
                <w:b/>
                <w:bCs/>
                <w:color w:val="000000"/>
                <w:szCs w:val="16"/>
                <w:lang w:eastAsia="es-CR"/>
              </w:rPr>
            </w:pPr>
          </w:p>
        </w:tc>
        <w:tc>
          <w:tcPr>
            <w:tcW w:w="3537" w:type="pct"/>
            <w:vMerge/>
            <w:vAlign w:val="center"/>
            <w:hideMark/>
          </w:tcPr>
          <w:p w14:paraId="63977098"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7B4DB98E" w14:textId="77777777" w:rsidTr="004D2834">
        <w:trPr>
          <w:trHeight w:val="405"/>
        </w:trPr>
        <w:tc>
          <w:tcPr>
            <w:tcW w:w="1463" w:type="pct"/>
            <w:gridSpan w:val="2"/>
            <w:shd w:val="clear" w:color="auto" w:fill="auto"/>
            <w:hideMark/>
          </w:tcPr>
          <w:p w14:paraId="532F5F1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37" w:type="pct"/>
            <w:shd w:val="clear" w:color="auto" w:fill="auto"/>
            <w:hideMark/>
          </w:tcPr>
          <w:p w14:paraId="5B5F8A6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Registro administrativo de personas víctimas de trata acreditadas que son abordadas en procesos de atención secundaria.</w:t>
            </w:r>
          </w:p>
        </w:tc>
      </w:tr>
      <w:tr w:rsidR="003855FD" w:rsidRPr="0073029B" w14:paraId="306827BA" w14:textId="77777777" w:rsidTr="004D2834">
        <w:trPr>
          <w:trHeight w:val="432"/>
        </w:trPr>
        <w:tc>
          <w:tcPr>
            <w:tcW w:w="1463" w:type="pct"/>
            <w:gridSpan w:val="2"/>
            <w:shd w:val="clear" w:color="auto" w:fill="auto"/>
            <w:hideMark/>
          </w:tcPr>
          <w:p w14:paraId="6FD46D8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 Sostenible (ODS) vinculado</w:t>
            </w:r>
          </w:p>
        </w:tc>
        <w:tc>
          <w:tcPr>
            <w:tcW w:w="3537" w:type="pct"/>
            <w:shd w:val="clear" w:color="auto" w:fill="auto"/>
            <w:hideMark/>
          </w:tcPr>
          <w:p w14:paraId="4379BD8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10: 10.7.3</w:t>
            </w:r>
          </w:p>
        </w:tc>
      </w:tr>
      <w:tr w:rsidR="003855FD" w:rsidRPr="0073029B" w14:paraId="6473AAAB" w14:textId="77777777" w:rsidTr="004D2834">
        <w:trPr>
          <w:trHeight w:val="432"/>
        </w:trPr>
        <w:tc>
          <w:tcPr>
            <w:tcW w:w="1463" w:type="pct"/>
            <w:gridSpan w:val="2"/>
            <w:shd w:val="clear" w:color="auto" w:fill="auto"/>
            <w:hideMark/>
          </w:tcPr>
          <w:p w14:paraId="26C8DBF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537" w:type="pct"/>
            <w:shd w:val="clear" w:color="auto" w:fill="auto"/>
            <w:hideMark/>
          </w:tcPr>
          <w:p w14:paraId="02AA906F"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(X) Directa</w:t>
            </w:r>
            <w:r w:rsidRPr="0073029B">
              <w:rPr>
                <w:rFonts w:eastAsia="Times New Roman" w:cs="Tahoma"/>
                <w:color w:val="000000"/>
                <w:szCs w:val="16"/>
                <w:lang w:eastAsia="es-CR"/>
              </w:rPr>
              <w:br/>
              <w:t>() Indirecta</w:t>
            </w:r>
          </w:p>
        </w:tc>
      </w:tr>
      <w:tr w:rsidR="003855FD" w:rsidRPr="0073029B" w14:paraId="43C17615" w14:textId="77777777" w:rsidTr="004D2834">
        <w:trPr>
          <w:trHeight w:val="432"/>
        </w:trPr>
        <w:tc>
          <w:tcPr>
            <w:tcW w:w="1463" w:type="pct"/>
            <w:gridSpan w:val="2"/>
            <w:shd w:val="clear" w:color="auto" w:fill="auto"/>
            <w:hideMark/>
          </w:tcPr>
          <w:p w14:paraId="446752B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 de Montevideo</w:t>
            </w:r>
          </w:p>
        </w:tc>
        <w:tc>
          <w:tcPr>
            <w:tcW w:w="3537" w:type="pct"/>
            <w:shd w:val="clear" w:color="auto" w:fill="auto"/>
            <w:hideMark/>
          </w:tcPr>
          <w:p w14:paraId="4ADE0DB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F: 67, 68, 70, 71, 72, 73</w:t>
            </w:r>
          </w:p>
        </w:tc>
      </w:tr>
      <w:tr w:rsidR="003855FD" w:rsidRPr="0073029B" w14:paraId="247CD9BD" w14:textId="77777777" w:rsidTr="004D2834">
        <w:trPr>
          <w:trHeight w:val="432"/>
        </w:trPr>
        <w:tc>
          <w:tcPr>
            <w:tcW w:w="1463" w:type="pct"/>
            <w:gridSpan w:val="2"/>
            <w:shd w:val="clear" w:color="auto" w:fill="auto"/>
            <w:hideMark/>
          </w:tcPr>
          <w:p w14:paraId="6FDBD17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 Desarrollo</w:t>
            </w:r>
          </w:p>
        </w:tc>
        <w:tc>
          <w:tcPr>
            <w:tcW w:w="3537" w:type="pct"/>
            <w:shd w:val="clear" w:color="auto" w:fill="auto"/>
            <w:hideMark/>
          </w:tcPr>
          <w:p w14:paraId="5F002AF5"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No hay vinculación son metas nacionales</w:t>
            </w:r>
          </w:p>
        </w:tc>
      </w:tr>
      <w:tr w:rsidR="003855FD" w:rsidRPr="0073029B" w14:paraId="0BDEBEFE" w14:textId="77777777" w:rsidTr="004D2834">
        <w:trPr>
          <w:trHeight w:val="2208"/>
        </w:trPr>
        <w:tc>
          <w:tcPr>
            <w:tcW w:w="1463" w:type="pct"/>
            <w:gridSpan w:val="2"/>
            <w:shd w:val="clear" w:color="auto" w:fill="auto"/>
            <w:hideMark/>
          </w:tcPr>
          <w:p w14:paraId="64B9EE3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37" w:type="pct"/>
            <w:shd w:val="clear" w:color="auto" w:fill="auto"/>
            <w:hideMark/>
          </w:tcPr>
          <w:p w14:paraId="4BF59E6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La meta es mantener ese porcentaje de atención a las víctimas acreditas. No es acumulativo.</w:t>
            </w:r>
            <w:r w:rsidRPr="0073029B">
              <w:rPr>
                <w:rFonts w:eastAsia="Times New Roman" w:cs="Tahoma"/>
                <w:color w:val="000000"/>
                <w:szCs w:val="16"/>
                <w:lang w:eastAsia="es-CR"/>
              </w:rPr>
              <w:br/>
              <w:t>Supuestos: este indicador depende de la dinámica migratoria, la cual está influenciada por factores internos y externos, no controlables por el país.</w:t>
            </w:r>
          </w:p>
          <w:p w14:paraId="28CAEC7A"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Notas Técnicas: por la naturaleza del indicador no es posible definir una cantidad de hombres o mujeres, independientemente de ello las víctimas se van a atender de manera integral según los servicios de la institución. Además, la DGME atiende a las personas migrantes sin ningún tipo de discriminación por la condición de sexo, bajo el enfoque de Derechos Humanos. Este producto permite identificar las gestiones que se efectúan como país con el fin de brindar una atención efectiva a las personas víctimas de los delitos de trata de personas. El monto es superior que el registrado en el PND porque contempla los recursos transferidos al FONATT, así como las actividades del plan de acción del PND.</w:t>
            </w:r>
          </w:p>
        </w:tc>
      </w:tr>
      <w:tr w:rsidR="003855FD" w:rsidRPr="0073029B" w14:paraId="5AE04620" w14:textId="77777777" w:rsidTr="004D2834">
        <w:trPr>
          <w:trHeight w:val="372"/>
        </w:trPr>
        <w:tc>
          <w:tcPr>
            <w:tcW w:w="1463" w:type="pct"/>
            <w:gridSpan w:val="2"/>
            <w:shd w:val="clear" w:color="auto" w:fill="003A70"/>
            <w:hideMark/>
          </w:tcPr>
          <w:p w14:paraId="7B51D25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537" w:type="pct"/>
            <w:shd w:val="clear" w:color="auto" w:fill="auto"/>
            <w:hideMark/>
          </w:tcPr>
          <w:p w14:paraId="0D002D8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b/>
                <w:color w:val="000000"/>
                <w:szCs w:val="16"/>
                <w:lang w:eastAsia="es-CR"/>
              </w:rPr>
              <w:t>2024:</w:t>
            </w:r>
            <w:r w:rsidRPr="0073029B">
              <w:rPr>
                <w:rFonts w:eastAsia="Times New Roman" w:cs="Tahoma"/>
                <w:color w:val="000000"/>
                <w:szCs w:val="16"/>
                <w:lang w:eastAsia="es-CR"/>
              </w:rPr>
              <w:t xml:space="preserve"> Se modificó el nombre, la fórmula de cálculo, los componentes involucrados en la fórmula del cálculo, la fuente de información y el tipo de operación estadística. Oficio de aprobación MIDEPLAN-DVM-OF-0502-2024 (rige a partir de 2025).</w:t>
            </w:r>
          </w:p>
        </w:tc>
      </w:tr>
    </w:tbl>
    <w:p w14:paraId="68EF1389" w14:textId="77777777" w:rsidR="003855FD" w:rsidRPr="0073029B" w:rsidRDefault="003855FD" w:rsidP="003855FD">
      <w:pPr>
        <w:pStyle w:val="Default"/>
        <w:rPr>
          <w:rFonts w:ascii="Tahoma" w:eastAsia="Arial Narrow" w:hAnsi="Tahoma" w:cs="Tahoma"/>
          <w:sz w:val="16"/>
          <w:szCs w:val="16"/>
        </w:rPr>
      </w:pPr>
      <w:r w:rsidRPr="0073029B">
        <w:rPr>
          <w:rFonts w:ascii="Tahoma" w:eastAsia="Arial Narrow" w:hAnsi="Tahoma" w:cs="Tahoma"/>
          <w:sz w:val="16"/>
          <w:szCs w:val="16"/>
        </w:rPr>
        <w:t xml:space="preserve">Fuente: </w:t>
      </w:r>
      <w:r w:rsidRPr="0073029B">
        <w:rPr>
          <w:rFonts w:ascii="Tahoma" w:hAnsi="Tahoma" w:cs="Tahoma"/>
          <w:sz w:val="16"/>
          <w:szCs w:val="16"/>
        </w:rPr>
        <w:t>Dirección General de Migración y Extranjería.</w:t>
      </w:r>
    </w:p>
    <w:p w14:paraId="36CD6DC6" w14:textId="77777777" w:rsidR="003855FD" w:rsidRPr="0073029B" w:rsidRDefault="003855FD" w:rsidP="003855FD">
      <w:pPr>
        <w:pStyle w:val="Default"/>
        <w:rPr>
          <w:rFonts w:ascii="Tahoma" w:eastAsia="Arial Narrow" w:hAnsi="Tahoma" w:cs="Tahoma"/>
          <w:sz w:val="16"/>
          <w:szCs w:val="16"/>
        </w:rPr>
      </w:pPr>
    </w:p>
    <w:p w14:paraId="01F91A34" w14:textId="77777777" w:rsidR="003855FD" w:rsidRPr="0073029B" w:rsidRDefault="003855FD" w:rsidP="003855FD">
      <w:pPr>
        <w:pStyle w:val="Default"/>
        <w:rPr>
          <w:rFonts w:ascii="Tahoma" w:eastAsia="Arial Narrow" w:hAnsi="Tahoma" w:cs="Tahoma"/>
          <w:sz w:val="16"/>
          <w:szCs w:val="16"/>
        </w:rPr>
      </w:pPr>
    </w:p>
    <w:p w14:paraId="4C6EE520" w14:textId="77777777" w:rsidR="003855FD" w:rsidRPr="0073029B" w:rsidRDefault="003855FD" w:rsidP="003855FD">
      <w:pPr>
        <w:pStyle w:val="Default"/>
        <w:rPr>
          <w:rFonts w:ascii="Tahoma" w:eastAsia="Arial Narrow" w:hAnsi="Tahoma" w:cs="Tahoma"/>
          <w:sz w:val="16"/>
          <w:szCs w:val="16"/>
        </w:rPr>
      </w:pPr>
    </w:p>
    <w:p w14:paraId="5558EB38" w14:textId="77777777" w:rsidR="003855FD" w:rsidRPr="0073029B" w:rsidRDefault="003855FD" w:rsidP="003855FD">
      <w:pPr>
        <w:pStyle w:val="Default"/>
        <w:spacing w:line="276" w:lineRule="auto"/>
        <w:jc w:val="both"/>
        <w:rPr>
          <w:rFonts w:ascii="Tahoma" w:eastAsia="Arial Narrow" w:hAnsi="Tahoma" w:cs="Tahoma"/>
          <w:sz w:val="18"/>
          <w:szCs w:val="16"/>
          <w:u w:val="single"/>
        </w:rPr>
      </w:pPr>
      <w:r w:rsidRPr="0073029B">
        <w:rPr>
          <w:rFonts w:ascii="Tahoma" w:eastAsia="Arial Narrow" w:hAnsi="Tahoma" w:cs="Tahoma"/>
          <w:b/>
          <w:sz w:val="18"/>
          <w:szCs w:val="16"/>
          <w:u w:val="single"/>
        </w:rPr>
        <w:t>Intervención Pública 5.</w:t>
      </w:r>
      <w:r w:rsidRPr="0073029B">
        <w:rPr>
          <w:rFonts w:ascii="Tahoma" w:eastAsia="Arial Narrow" w:hAnsi="Tahoma" w:cs="Tahoma"/>
          <w:sz w:val="18"/>
          <w:szCs w:val="16"/>
          <w:u w:val="single"/>
        </w:rPr>
        <w:t xml:space="preserve"> Fronteras seguras y desarticulación de redes internacionales o nacionales de tráfico y trata.</w:t>
      </w:r>
    </w:p>
    <w:p w14:paraId="4F44B815" w14:textId="77777777" w:rsidR="003855FD" w:rsidRPr="0073029B" w:rsidRDefault="003855FD" w:rsidP="003855FD">
      <w:pPr>
        <w:pStyle w:val="Default"/>
        <w:spacing w:line="276" w:lineRule="auto"/>
        <w:jc w:val="both"/>
        <w:rPr>
          <w:rFonts w:ascii="Tahoma" w:eastAsia="Arial Narrow" w:hAnsi="Tahoma" w:cs="Tahoma"/>
          <w:sz w:val="18"/>
          <w:szCs w:val="16"/>
          <w:u w:val="single"/>
        </w:rPr>
      </w:pPr>
    </w:p>
    <w:p w14:paraId="1A56D752" w14:textId="77777777" w:rsidR="003855FD" w:rsidRPr="0073029B" w:rsidRDefault="003855FD" w:rsidP="003855FD">
      <w:pPr>
        <w:pStyle w:val="Default"/>
        <w:spacing w:line="276" w:lineRule="auto"/>
        <w:jc w:val="both"/>
        <w:rPr>
          <w:rFonts w:ascii="Tahoma" w:eastAsia="Arial Narrow" w:hAnsi="Tahoma" w:cs="Tahoma"/>
          <w:sz w:val="18"/>
          <w:szCs w:val="16"/>
        </w:rPr>
      </w:pPr>
      <w:r w:rsidRPr="0073029B">
        <w:rPr>
          <w:rFonts w:ascii="Tahoma" w:eastAsia="Arial Narrow" w:hAnsi="Tahoma" w:cs="Tahoma"/>
          <w:b/>
          <w:sz w:val="18"/>
          <w:szCs w:val="16"/>
        </w:rPr>
        <w:t>Objetivo 5.1</w:t>
      </w:r>
      <w:r w:rsidRPr="0073029B">
        <w:rPr>
          <w:rFonts w:ascii="Tahoma" w:eastAsia="Arial Narrow" w:hAnsi="Tahoma" w:cs="Tahoma"/>
          <w:sz w:val="18"/>
          <w:szCs w:val="16"/>
        </w:rPr>
        <w:t xml:space="preserve"> Combatir la criminalidad organizada a través de la desarticulación de sus estructuras, coadyuvando así a la mejora de la seguridad del país.</w:t>
      </w:r>
    </w:p>
    <w:p w14:paraId="108F2887" w14:textId="77777777" w:rsidR="003855FD" w:rsidRPr="0073029B" w:rsidRDefault="003855FD"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1249"/>
        <w:gridCol w:w="6595"/>
      </w:tblGrid>
      <w:tr w:rsidR="003855FD" w:rsidRPr="0073029B" w14:paraId="6FA9D0ED" w14:textId="77777777" w:rsidTr="004D2834">
        <w:trPr>
          <w:trHeight w:val="228"/>
          <w:tblHeader/>
        </w:trPr>
        <w:tc>
          <w:tcPr>
            <w:tcW w:w="1463" w:type="pct"/>
            <w:gridSpan w:val="2"/>
            <w:shd w:val="clear" w:color="auto" w:fill="003A70"/>
            <w:hideMark/>
          </w:tcPr>
          <w:p w14:paraId="5F127E4F"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537" w:type="pct"/>
            <w:shd w:val="clear" w:color="auto" w:fill="003A70"/>
            <w:hideMark/>
          </w:tcPr>
          <w:p w14:paraId="63849089"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A.5.1.1</w:t>
            </w:r>
          </w:p>
        </w:tc>
      </w:tr>
      <w:tr w:rsidR="003855FD" w:rsidRPr="0073029B" w14:paraId="2D6E8868" w14:textId="77777777" w:rsidTr="004D2834">
        <w:trPr>
          <w:trHeight w:val="288"/>
          <w:tblHeader/>
        </w:trPr>
        <w:tc>
          <w:tcPr>
            <w:tcW w:w="1463" w:type="pct"/>
            <w:gridSpan w:val="2"/>
            <w:shd w:val="clear" w:color="000000" w:fill="D9D9D9"/>
            <w:vAlign w:val="center"/>
            <w:hideMark/>
          </w:tcPr>
          <w:p w14:paraId="60C10949"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37" w:type="pct"/>
            <w:shd w:val="clear" w:color="000000" w:fill="D9D9D9"/>
            <w:vAlign w:val="center"/>
            <w:hideMark/>
          </w:tcPr>
          <w:p w14:paraId="688E12A7"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01A1E10C" w14:textId="77777777" w:rsidTr="004D2834">
        <w:trPr>
          <w:trHeight w:val="446"/>
        </w:trPr>
        <w:tc>
          <w:tcPr>
            <w:tcW w:w="1463" w:type="pct"/>
            <w:gridSpan w:val="2"/>
            <w:shd w:val="clear" w:color="auto" w:fill="003A70"/>
            <w:hideMark/>
          </w:tcPr>
          <w:p w14:paraId="0473BB4D"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537" w:type="pct"/>
            <w:shd w:val="clear" w:color="auto" w:fill="003A70"/>
            <w:hideMark/>
          </w:tcPr>
          <w:p w14:paraId="66E53151" w14:textId="77777777" w:rsidR="003855FD" w:rsidRPr="0073029B" w:rsidRDefault="003855FD" w:rsidP="004D2834">
            <w:pPr>
              <w:spacing w:after="0"/>
              <w:jc w:val="both"/>
              <w:rPr>
                <w:rFonts w:cs="Tahoma"/>
                <w:b/>
                <w:lang w:eastAsia="es-CR"/>
              </w:rPr>
            </w:pPr>
            <w:bookmarkStart w:id="68" w:name="_Toc202257796"/>
            <w:r w:rsidRPr="0073029B">
              <w:rPr>
                <w:rFonts w:cs="Tahoma"/>
                <w:b/>
                <w:lang w:eastAsia="es-CR"/>
              </w:rPr>
              <w:t>A.5.1.1 Cantidad de redes de crimen organizado sobre trata de personas o tráfico ilícito de migrantes o actividades conexas desarticuladas.</w:t>
            </w:r>
            <w:bookmarkEnd w:id="68"/>
          </w:p>
        </w:tc>
      </w:tr>
      <w:tr w:rsidR="003855FD" w:rsidRPr="0073029B" w14:paraId="085ED111" w14:textId="77777777" w:rsidTr="004D2834">
        <w:trPr>
          <w:trHeight w:val="1368"/>
        </w:trPr>
        <w:tc>
          <w:tcPr>
            <w:tcW w:w="1463" w:type="pct"/>
            <w:gridSpan w:val="2"/>
            <w:shd w:val="clear" w:color="auto" w:fill="auto"/>
            <w:hideMark/>
          </w:tcPr>
          <w:p w14:paraId="3A433D1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37" w:type="pct"/>
            <w:shd w:val="clear" w:color="auto" w:fill="auto"/>
            <w:hideMark/>
          </w:tcPr>
          <w:p w14:paraId="408A4F07"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Estructura criminal, entendida como la implementación de relaciones entre dos o más individuos que concertadamente cometen delitos, es decir, que establecen conexiones con la finalidad de organizar, dirigir y ejecutar actividades criminales cuyo objetivo es obtener beneficios. Estas estructuras criminales adquieren la condición de crimen organizado, cuando, una vez establecida la relación criminal, trasciende las fronteras costarricenses, esta tiene una continuidad temporal y un sentido de organización que obedece a toda una planificación. Desarticular: aplicado a estructuras criminales, es toda acción enfocada en debilitar, destruir, desestabilizar y eliminar toda posibilidad de un grupo organizado dedicado a cometer delitos a continuar con sus actividades. </w:t>
            </w:r>
          </w:p>
          <w:p w14:paraId="15069809" w14:textId="77777777" w:rsidR="003855FD" w:rsidRPr="0073029B" w:rsidRDefault="003855FD" w:rsidP="004D2834">
            <w:pPr>
              <w:spacing w:after="0" w:line="240" w:lineRule="auto"/>
              <w:jc w:val="both"/>
              <w:rPr>
                <w:rFonts w:eastAsia="Times New Roman" w:cs="Tahoma"/>
                <w:color w:val="000000"/>
                <w:szCs w:val="16"/>
                <w:lang w:eastAsia="es-CR"/>
              </w:rPr>
            </w:pPr>
          </w:p>
          <w:p w14:paraId="3903589A"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El tráfico ilícito de migrantes y la trata de personas son actividades que son desarrolladas por grandes estructuras con conexiones a nivel mundial, ambos delitos lucran con seres humanos. El tráfico ilícito migrantes y la trata de personas son de las actividades ilícitas más rentables a nivel mundial. Para los grupos del crimen organizado, el tráfico ilícito de representa una violación a las regulaciones de seguridad establecidas por los países para transitar por sus fronteras, es normalmente una actividad de bajo riesgo y de alta rentabilidad, porque, aunque la persona migrante no logre llegar a su destino, recibe un pago. Es por ello que el tráfico de migrantes se ha convertido en una amenaza mundial para la gobernanza de la migración y en Costa Rica no es la excepción, ya que el país es catalogado como un país de destino (las personas migrantes deciden residir o permanecer en Costa Rica para mejorar sus condiciones de vida o salvaguardar su integridad) y de tránsito de migrantes (zona de paso). Muchos migrantes recurren a los traficantes (coyotes) cuando no tienen la opción de viajar de manera regular, ya que no cumplen con las condiciones que los países solicitan. Es por ello que los traficantes de migrantes han pasado a formar parte del viaje migratorio irregular y ello genera beneficios sustantivos para las redes delictivas. </w:t>
            </w:r>
          </w:p>
          <w:p w14:paraId="506AE2C9" w14:textId="77777777" w:rsidR="003855FD" w:rsidRPr="0073029B" w:rsidRDefault="003855FD" w:rsidP="004D2834">
            <w:pPr>
              <w:spacing w:after="0" w:line="240" w:lineRule="auto"/>
              <w:jc w:val="both"/>
              <w:rPr>
                <w:rFonts w:eastAsia="Times New Roman" w:cs="Tahoma"/>
                <w:color w:val="000000"/>
                <w:szCs w:val="16"/>
                <w:lang w:eastAsia="es-CR"/>
              </w:rPr>
            </w:pPr>
          </w:p>
          <w:p w14:paraId="2F8B26DE"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En cuanto a la trata de personas. La explotación de seres humanos puede ser sumamente lucrativa para los grupos delictivos organizados y la trata de personas tiene muchos fines como la explotación sexual, trabajo forzoso, servidumbre doméstica, mendicidad infantil o extracción de órganos, por ello, los tratantes consideran a las personas como mercancías, objetos que pueden ser explotados y comerciados para lucrar con ellos. Los tratantes también pertenecen a redes que a su vez son parte de estructuras criminales que operan a nivel mundial. Actividades conexas de la trata de personas: se entiende como tales el embarazo forzado, la actividad de transporte, el arrendamiento, la posesión o la administración de casas de habitación y locales con fines de trata de personas, la demanda por parte del cliente explotador de los servicios realizados por la víctima, así como otras actividades que se deriven directamente de la trata de personas.</w:t>
            </w:r>
          </w:p>
        </w:tc>
      </w:tr>
      <w:tr w:rsidR="003855FD" w:rsidRPr="0073029B" w14:paraId="38B5D7D4" w14:textId="77777777" w:rsidTr="004D2834">
        <w:trPr>
          <w:trHeight w:val="444"/>
        </w:trPr>
        <w:tc>
          <w:tcPr>
            <w:tcW w:w="1463" w:type="pct"/>
            <w:gridSpan w:val="2"/>
            <w:shd w:val="clear" w:color="auto" w:fill="auto"/>
            <w:hideMark/>
          </w:tcPr>
          <w:p w14:paraId="3887386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537" w:type="pct"/>
            <w:shd w:val="clear" w:color="auto" w:fill="auto"/>
            <w:hideMark/>
          </w:tcPr>
          <w:p w14:paraId="368C2009"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Sumatoria de redes de crimen organizado sobre trata de personas o tráfico ilícito de migrantes o actividades conexas desarticuladas en el año t</w:t>
            </w:r>
          </w:p>
        </w:tc>
      </w:tr>
      <w:tr w:rsidR="003855FD" w:rsidRPr="0073029B" w14:paraId="1E83F7EC" w14:textId="77777777" w:rsidTr="004D2834">
        <w:trPr>
          <w:trHeight w:val="516"/>
        </w:trPr>
        <w:tc>
          <w:tcPr>
            <w:tcW w:w="1463" w:type="pct"/>
            <w:gridSpan w:val="2"/>
            <w:shd w:val="clear" w:color="auto" w:fill="auto"/>
            <w:hideMark/>
          </w:tcPr>
          <w:p w14:paraId="3325C2B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537" w:type="pct"/>
            <w:shd w:val="clear" w:color="auto" w:fill="auto"/>
            <w:hideMark/>
          </w:tcPr>
          <w:p w14:paraId="4AAB08F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Redes de crimen organizado sobre trata de personas o tráfico ilícito de migrantes o actividades conexas desarticuladas.</w:t>
            </w:r>
          </w:p>
        </w:tc>
      </w:tr>
      <w:tr w:rsidR="003855FD" w:rsidRPr="0073029B" w14:paraId="38C2AFB6" w14:textId="77777777" w:rsidTr="004D2834">
        <w:trPr>
          <w:trHeight w:val="276"/>
        </w:trPr>
        <w:tc>
          <w:tcPr>
            <w:tcW w:w="1463" w:type="pct"/>
            <w:gridSpan w:val="2"/>
            <w:shd w:val="clear" w:color="auto" w:fill="auto"/>
            <w:hideMark/>
          </w:tcPr>
          <w:p w14:paraId="47CAECC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37" w:type="pct"/>
            <w:shd w:val="clear" w:color="auto" w:fill="auto"/>
            <w:hideMark/>
          </w:tcPr>
          <w:p w14:paraId="4EEB6D08"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Cantidad</w:t>
            </w:r>
          </w:p>
        </w:tc>
      </w:tr>
      <w:tr w:rsidR="003855FD" w:rsidRPr="0073029B" w14:paraId="4A8A5B4C" w14:textId="77777777" w:rsidTr="004D2834">
        <w:trPr>
          <w:trHeight w:val="421"/>
        </w:trPr>
        <w:tc>
          <w:tcPr>
            <w:tcW w:w="1463" w:type="pct"/>
            <w:gridSpan w:val="2"/>
            <w:shd w:val="clear" w:color="auto" w:fill="auto"/>
            <w:hideMark/>
          </w:tcPr>
          <w:p w14:paraId="1FDBB0D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37" w:type="pct"/>
            <w:shd w:val="clear" w:color="auto" w:fill="auto"/>
            <w:hideMark/>
          </w:tcPr>
          <w:p w14:paraId="4A1CB64C"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La Policía Profesional de Migración logró la desarticulación de organizaciones criminales dedicadas a la trata de personas y al tráfico ilícito de migrantes.</w:t>
            </w:r>
          </w:p>
        </w:tc>
      </w:tr>
      <w:tr w:rsidR="003855FD" w:rsidRPr="0073029B" w14:paraId="08B28DDA" w14:textId="77777777" w:rsidTr="004D2834">
        <w:trPr>
          <w:trHeight w:val="288"/>
        </w:trPr>
        <w:tc>
          <w:tcPr>
            <w:tcW w:w="793" w:type="pct"/>
            <w:vMerge w:val="restart"/>
            <w:shd w:val="clear" w:color="auto" w:fill="auto"/>
            <w:hideMark/>
          </w:tcPr>
          <w:p w14:paraId="38DD5CB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70" w:type="pct"/>
            <w:shd w:val="clear" w:color="auto" w:fill="auto"/>
            <w:hideMark/>
          </w:tcPr>
          <w:p w14:paraId="1F3A6D6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37" w:type="pct"/>
            <w:shd w:val="clear" w:color="auto" w:fill="auto"/>
            <w:hideMark/>
          </w:tcPr>
          <w:p w14:paraId="1F833C7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w:t>
            </w:r>
          </w:p>
        </w:tc>
      </w:tr>
      <w:tr w:rsidR="003855FD" w:rsidRPr="0073029B" w14:paraId="13788428" w14:textId="77777777" w:rsidTr="004D2834">
        <w:trPr>
          <w:trHeight w:val="288"/>
        </w:trPr>
        <w:tc>
          <w:tcPr>
            <w:tcW w:w="793" w:type="pct"/>
            <w:vMerge/>
            <w:vAlign w:val="center"/>
            <w:hideMark/>
          </w:tcPr>
          <w:p w14:paraId="44F88CA8" w14:textId="77777777" w:rsidR="003855FD" w:rsidRPr="0073029B" w:rsidRDefault="003855FD" w:rsidP="004D2834">
            <w:pPr>
              <w:spacing w:after="0" w:line="240" w:lineRule="auto"/>
              <w:rPr>
                <w:rFonts w:eastAsia="Times New Roman" w:cs="Tahoma"/>
                <w:b/>
                <w:bCs/>
                <w:color w:val="000000"/>
                <w:szCs w:val="16"/>
                <w:lang w:eastAsia="es-CR"/>
              </w:rPr>
            </w:pPr>
          </w:p>
        </w:tc>
        <w:tc>
          <w:tcPr>
            <w:tcW w:w="670" w:type="pct"/>
            <w:shd w:val="clear" w:color="auto" w:fill="auto"/>
            <w:hideMark/>
          </w:tcPr>
          <w:p w14:paraId="0E38E62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37" w:type="pct"/>
            <w:shd w:val="clear" w:color="auto" w:fill="auto"/>
            <w:hideMark/>
          </w:tcPr>
          <w:p w14:paraId="37E2D0F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Desarticulación del crimen organizado.</w:t>
            </w:r>
          </w:p>
        </w:tc>
      </w:tr>
      <w:tr w:rsidR="003855FD" w:rsidRPr="0073029B" w14:paraId="12C74157" w14:textId="77777777" w:rsidTr="004D2834">
        <w:trPr>
          <w:trHeight w:val="288"/>
        </w:trPr>
        <w:tc>
          <w:tcPr>
            <w:tcW w:w="1463" w:type="pct"/>
            <w:gridSpan w:val="2"/>
            <w:shd w:val="clear" w:color="auto" w:fill="auto"/>
            <w:hideMark/>
          </w:tcPr>
          <w:p w14:paraId="1172AAE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Línea base</w:t>
            </w:r>
          </w:p>
        </w:tc>
        <w:tc>
          <w:tcPr>
            <w:tcW w:w="3537" w:type="pct"/>
            <w:shd w:val="clear" w:color="auto" w:fill="auto"/>
            <w:hideMark/>
          </w:tcPr>
          <w:p w14:paraId="771243F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4</w:t>
            </w:r>
          </w:p>
        </w:tc>
      </w:tr>
      <w:tr w:rsidR="003855FD" w:rsidRPr="0073029B" w14:paraId="4C48ED8F" w14:textId="77777777" w:rsidTr="004D2834">
        <w:trPr>
          <w:trHeight w:val="1104"/>
        </w:trPr>
        <w:tc>
          <w:tcPr>
            <w:tcW w:w="1463" w:type="pct"/>
            <w:gridSpan w:val="2"/>
            <w:shd w:val="clear" w:color="auto" w:fill="auto"/>
            <w:hideMark/>
          </w:tcPr>
          <w:p w14:paraId="012266F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537" w:type="pct"/>
            <w:shd w:val="clear" w:color="auto" w:fill="auto"/>
            <w:hideMark/>
          </w:tcPr>
          <w:p w14:paraId="1FD5130F"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8</w:t>
            </w:r>
            <w:r w:rsidRPr="0073029B">
              <w:rPr>
                <w:rFonts w:eastAsia="Times New Roman" w:cs="Tahoma"/>
                <w:color w:val="000000"/>
                <w:szCs w:val="16"/>
                <w:lang w:eastAsia="es-CR"/>
              </w:rPr>
              <w:br/>
            </w:r>
            <w:r w:rsidRPr="0073029B">
              <w:rPr>
                <w:rFonts w:eastAsia="Times New Roman" w:cs="Tahoma"/>
                <w:color w:val="000000"/>
                <w:szCs w:val="16"/>
                <w:lang w:eastAsia="es-CR"/>
              </w:rPr>
              <w:br/>
              <w:t>2023: 1</w:t>
            </w:r>
            <w:r w:rsidRPr="0073029B">
              <w:rPr>
                <w:rFonts w:eastAsia="Times New Roman" w:cs="Tahoma"/>
                <w:color w:val="000000"/>
                <w:szCs w:val="16"/>
                <w:lang w:eastAsia="es-CR"/>
              </w:rPr>
              <w:br/>
              <w:t>2024: 1</w:t>
            </w:r>
            <w:r w:rsidRPr="0073029B">
              <w:rPr>
                <w:rFonts w:eastAsia="Times New Roman" w:cs="Tahoma"/>
                <w:color w:val="000000"/>
                <w:szCs w:val="16"/>
                <w:lang w:eastAsia="es-CR"/>
              </w:rPr>
              <w:br/>
              <w:t>2025: 3</w:t>
            </w:r>
            <w:r w:rsidRPr="0073029B">
              <w:rPr>
                <w:rFonts w:eastAsia="Times New Roman" w:cs="Tahoma"/>
                <w:color w:val="000000"/>
                <w:szCs w:val="16"/>
                <w:lang w:eastAsia="es-CR"/>
              </w:rPr>
              <w:br/>
              <w:t>2026: 3</w:t>
            </w:r>
          </w:p>
        </w:tc>
      </w:tr>
      <w:tr w:rsidR="003855FD" w:rsidRPr="0073029B" w14:paraId="7782C8A2" w14:textId="77777777" w:rsidTr="004D2834">
        <w:trPr>
          <w:trHeight w:val="516"/>
        </w:trPr>
        <w:tc>
          <w:tcPr>
            <w:tcW w:w="1463" w:type="pct"/>
            <w:gridSpan w:val="2"/>
            <w:shd w:val="clear" w:color="auto" w:fill="auto"/>
            <w:hideMark/>
          </w:tcPr>
          <w:p w14:paraId="24CE546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w:t>
            </w:r>
            <w:r w:rsidRPr="0073029B">
              <w:rPr>
                <w:rFonts w:eastAsia="Times New Roman" w:cs="Tahoma"/>
                <w:b/>
                <w:bCs/>
                <w:color w:val="000000"/>
                <w:szCs w:val="16"/>
                <w:lang w:eastAsia="es-CR"/>
              </w:rPr>
              <w:br/>
              <w:t>seguimiento</w:t>
            </w:r>
          </w:p>
        </w:tc>
        <w:tc>
          <w:tcPr>
            <w:tcW w:w="3537" w:type="pct"/>
            <w:shd w:val="clear" w:color="auto" w:fill="auto"/>
            <w:hideMark/>
          </w:tcPr>
          <w:p w14:paraId="1A883C6C"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Anual</w:t>
            </w:r>
          </w:p>
        </w:tc>
      </w:tr>
      <w:tr w:rsidR="003855FD" w:rsidRPr="0073029B" w14:paraId="415F3B63" w14:textId="77777777" w:rsidTr="004D2834">
        <w:trPr>
          <w:trHeight w:val="455"/>
        </w:trPr>
        <w:tc>
          <w:tcPr>
            <w:tcW w:w="1463" w:type="pct"/>
            <w:gridSpan w:val="2"/>
            <w:shd w:val="clear" w:color="auto" w:fill="auto"/>
            <w:hideMark/>
          </w:tcPr>
          <w:p w14:paraId="6F57E10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37" w:type="pct"/>
            <w:shd w:val="clear" w:color="auto" w:fill="auto"/>
            <w:hideMark/>
          </w:tcPr>
          <w:p w14:paraId="196135F2"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Dirección General de Migración y Extranjería. Dirección de la Policía Profesional de Migración. Análisis e Inteligencia Policial, Informes de la Gestión de Investigaciones.</w:t>
            </w:r>
          </w:p>
        </w:tc>
      </w:tr>
      <w:tr w:rsidR="003855FD" w:rsidRPr="0073029B" w14:paraId="2F6FFDBD" w14:textId="77777777" w:rsidTr="004D2834">
        <w:trPr>
          <w:trHeight w:val="450"/>
        </w:trPr>
        <w:tc>
          <w:tcPr>
            <w:tcW w:w="1463" w:type="pct"/>
            <w:gridSpan w:val="2"/>
            <w:vMerge w:val="restart"/>
            <w:shd w:val="clear" w:color="auto" w:fill="auto"/>
            <w:hideMark/>
          </w:tcPr>
          <w:p w14:paraId="7D7620D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537" w:type="pct"/>
            <w:vMerge w:val="restart"/>
            <w:shd w:val="clear" w:color="auto" w:fill="auto"/>
            <w:hideMark/>
          </w:tcPr>
          <w:p w14:paraId="37D63304"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266F2078" w14:textId="77777777" w:rsidTr="004D2834">
        <w:trPr>
          <w:trHeight w:val="450"/>
        </w:trPr>
        <w:tc>
          <w:tcPr>
            <w:tcW w:w="1463" w:type="pct"/>
            <w:gridSpan w:val="2"/>
            <w:vMerge/>
            <w:vAlign w:val="center"/>
            <w:hideMark/>
          </w:tcPr>
          <w:p w14:paraId="76661AF7" w14:textId="77777777" w:rsidR="003855FD" w:rsidRPr="0073029B" w:rsidRDefault="003855FD" w:rsidP="004D2834">
            <w:pPr>
              <w:spacing w:after="0" w:line="240" w:lineRule="auto"/>
              <w:rPr>
                <w:rFonts w:eastAsia="Times New Roman" w:cs="Tahoma"/>
                <w:b/>
                <w:bCs/>
                <w:color w:val="000000"/>
                <w:szCs w:val="16"/>
                <w:lang w:eastAsia="es-CR"/>
              </w:rPr>
            </w:pPr>
          </w:p>
        </w:tc>
        <w:tc>
          <w:tcPr>
            <w:tcW w:w="3537" w:type="pct"/>
            <w:vMerge/>
            <w:vAlign w:val="center"/>
            <w:hideMark/>
          </w:tcPr>
          <w:p w14:paraId="462577BB"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371D40E1" w14:textId="77777777" w:rsidTr="004D2834">
        <w:trPr>
          <w:trHeight w:val="303"/>
        </w:trPr>
        <w:tc>
          <w:tcPr>
            <w:tcW w:w="1463" w:type="pct"/>
            <w:gridSpan w:val="2"/>
            <w:shd w:val="clear" w:color="auto" w:fill="auto"/>
            <w:hideMark/>
          </w:tcPr>
          <w:p w14:paraId="103D65C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37" w:type="pct"/>
            <w:shd w:val="clear" w:color="auto" w:fill="auto"/>
            <w:hideMark/>
          </w:tcPr>
          <w:p w14:paraId="1E763007"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Registro administrativo de redes de crimen organizado sobre trata de personas o tráfico ilícito de migrantes o actividades conexas desarticuladas.</w:t>
            </w:r>
          </w:p>
        </w:tc>
      </w:tr>
      <w:tr w:rsidR="003855FD" w:rsidRPr="0073029B" w14:paraId="6D749178" w14:textId="77777777" w:rsidTr="004D2834">
        <w:trPr>
          <w:trHeight w:val="432"/>
        </w:trPr>
        <w:tc>
          <w:tcPr>
            <w:tcW w:w="1463" w:type="pct"/>
            <w:gridSpan w:val="2"/>
            <w:shd w:val="clear" w:color="auto" w:fill="auto"/>
            <w:hideMark/>
          </w:tcPr>
          <w:p w14:paraId="784EC46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w:t>
            </w:r>
            <w:r w:rsidRPr="0073029B">
              <w:rPr>
                <w:rFonts w:eastAsia="Times New Roman" w:cs="Tahoma"/>
                <w:b/>
                <w:bCs/>
                <w:color w:val="000000"/>
                <w:szCs w:val="16"/>
                <w:lang w:eastAsia="es-CR"/>
              </w:rPr>
              <w:br/>
              <w:t>Sostenible (ODS) vinculado</w:t>
            </w:r>
          </w:p>
        </w:tc>
        <w:tc>
          <w:tcPr>
            <w:tcW w:w="3537" w:type="pct"/>
            <w:shd w:val="clear" w:color="auto" w:fill="auto"/>
            <w:hideMark/>
          </w:tcPr>
          <w:p w14:paraId="00D1033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10: 10.7.2</w:t>
            </w:r>
            <w:r w:rsidRPr="0073029B">
              <w:rPr>
                <w:rFonts w:eastAsia="Times New Roman" w:cs="Tahoma"/>
                <w:color w:val="000000"/>
                <w:szCs w:val="16"/>
                <w:lang w:eastAsia="es-CR"/>
              </w:rPr>
              <w:br/>
              <w:t>16: 16.1.3</w:t>
            </w:r>
          </w:p>
        </w:tc>
      </w:tr>
      <w:tr w:rsidR="003855FD" w:rsidRPr="0073029B" w14:paraId="68D9F7F9" w14:textId="77777777" w:rsidTr="004D2834">
        <w:trPr>
          <w:trHeight w:val="432"/>
        </w:trPr>
        <w:tc>
          <w:tcPr>
            <w:tcW w:w="1463" w:type="pct"/>
            <w:gridSpan w:val="2"/>
            <w:shd w:val="clear" w:color="auto" w:fill="auto"/>
            <w:hideMark/>
          </w:tcPr>
          <w:p w14:paraId="2BFD8F8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537" w:type="pct"/>
            <w:shd w:val="clear" w:color="auto" w:fill="auto"/>
            <w:hideMark/>
          </w:tcPr>
          <w:p w14:paraId="3978C2E7"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13F28539" w14:textId="77777777" w:rsidTr="004D2834">
        <w:trPr>
          <w:trHeight w:val="432"/>
        </w:trPr>
        <w:tc>
          <w:tcPr>
            <w:tcW w:w="1463" w:type="pct"/>
            <w:gridSpan w:val="2"/>
            <w:shd w:val="clear" w:color="auto" w:fill="auto"/>
            <w:hideMark/>
          </w:tcPr>
          <w:p w14:paraId="0D0B066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w:t>
            </w:r>
            <w:r w:rsidRPr="0073029B">
              <w:rPr>
                <w:rFonts w:eastAsia="Times New Roman" w:cs="Tahoma"/>
                <w:b/>
                <w:bCs/>
                <w:color w:val="000000"/>
                <w:szCs w:val="16"/>
                <w:lang w:eastAsia="es-CR"/>
              </w:rPr>
              <w:br/>
              <w:t>de Montevideo</w:t>
            </w:r>
          </w:p>
        </w:tc>
        <w:tc>
          <w:tcPr>
            <w:tcW w:w="3537" w:type="pct"/>
            <w:shd w:val="clear" w:color="auto" w:fill="auto"/>
            <w:hideMark/>
          </w:tcPr>
          <w:p w14:paraId="7B01ED1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F: 74, 75.</w:t>
            </w:r>
          </w:p>
        </w:tc>
      </w:tr>
      <w:tr w:rsidR="003855FD" w:rsidRPr="0073029B" w14:paraId="0553FAE8" w14:textId="77777777" w:rsidTr="004D2834">
        <w:trPr>
          <w:trHeight w:val="432"/>
        </w:trPr>
        <w:tc>
          <w:tcPr>
            <w:tcW w:w="1463" w:type="pct"/>
            <w:gridSpan w:val="2"/>
            <w:shd w:val="clear" w:color="auto" w:fill="auto"/>
            <w:hideMark/>
          </w:tcPr>
          <w:p w14:paraId="59ED8FC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 Desarrollo</w:t>
            </w:r>
          </w:p>
        </w:tc>
        <w:tc>
          <w:tcPr>
            <w:tcW w:w="3537" w:type="pct"/>
            <w:shd w:val="clear" w:color="auto" w:fill="auto"/>
            <w:hideMark/>
          </w:tcPr>
          <w:p w14:paraId="09B1CEB7"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No hay vinculación son metas nacionales</w:t>
            </w:r>
          </w:p>
        </w:tc>
      </w:tr>
      <w:tr w:rsidR="003855FD" w:rsidRPr="0073029B" w14:paraId="040C4CF2" w14:textId="77777777" w:rsidTr="004D2834">
        <w:trPr>
          <w:trHeight w:val="727"/>
        </w:trPr>
        <w:tc>
          <w:tcPr>
            <w:tcW w:w="1463" w:type="pct"/>
            <w:gridSpan w:val="2"/>
            <w:shd w:val="clear" w:color="auto" w:fill="auto"/>
            <w:hideMark/>
          </w:tcPr>
          <w:p w14:paraId="01CD412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37" w:type="pct"/>
            <w:shd w:val="clear" w:color="auto" w:fill="auto"/>
            <w:hideMark/>
          </w:tcPr>
          <w:p w14:paraId="3A48D806"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El combate a la criminalidad se gestionará desde el accionar de los cuerpos policiales del Poder Ejecutivo, no obstante, la Policía Profesional de Migración </w:t>
            </w:r>
            <w:proofErr w:type="gramStart"/>
            <w:r w:rsidRPr="0073029B">
              <w:rPr>
                <w:rFonts w:eastAsia="Times New Roman" w:cs="Tahoma"/>
                <w:color w:val="000000"/>
                <w:szCs w:val="16"/>
                <w:lang w:eastAsia="es-CR"/>
              </w:rPr>
              <w:t>le</w:t>
            </w:r>
            <w:proofErr w:type="gramEnd"/>
            <w:r w:rsidRPr="0073029B">
              <w:rPr>
                <w:rFonts w:eastAsia="Times New Roman" w:cs="Tahoma"/>
                <w:color w:val="000000"/>
                <w:szCs w:val="16"/>
                <w:lang w:eastAsia="es-CR"/>
              </w:rPr>
              <w:t xml:space="preserve"> compete el combate a los delitos de trata de personas y tráfico ilícitos de migrantes.</w:t>
            </w:r>
          </w:p>
          <w:p w14:paraId="17941EC6" w14:textId="77777777" w:rsidR="003855FD" w:rsidRPr="0073029B" w:rsidRDefault="003855FD" w:rsidP="004D2834">
            <w:pPr>
              <w:spacing w:after="0" w:line="240" w:lineRule="auto"/>
              <w:jc w:val="both"/>
              <w:rPr>
                <w:rFonts w:eastAsia="Times New Roman" w:cs="Tahoma"/>
                <w:color w:val="000000"/>
                <w:szCs w:val="16"/>
                <w:lang w:eastAsia="es-CR"/>
              </w:rPr>
            </w:pPr>
          </w:p>
          <w:p w14:paraId="286D4C1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La línea base del 2021 muestra un número mayor a las metas anuales proyectadas. Debido a que el 2021 se realizaron esfuerzos de coordinación interinstitucional para desarticular redes de crimen organizado, lo cual resultó exitoso. No obstante, para los siguientes años se decide mantener la desarticulación de una red de crimen organizado ya que, el</w:t>
            </w:r>
            <w:r w:rsidRPr="0073029B">
              <w:rPr>
                <w:rFonts w:eastAsia="Times New Roman" w:cs="Tahoma"/>
                <w:color w:val="000000"/>
                <w:szCs w:val="16"/>
                <w:lang w:eastAsia="es-CR"/>
              </w:rPr>
              <w:br/>
              <w:t>comportamiento de las redes criminales es difícil de prever.</w:t>
            </w:r>
          </w:p>
        </w:tc>
      </w:tr>
      <w:tr w:rsidR="003855FD" w:rsidRPr="0073029B" w14:paraId="0761B073" w14:textId="77777777" w:rsidTr="004D2834">
        <w:trPr>
          <w:trHeight w:val="372"/>
        </w:trPr>
        <w:tc>
          <w:tcPr>
            <w:tcW w:w="1463" w:type="pct"/>
            <w:gridSpan w:val="2"/>
            <w:shd w:val="clear" w:color="auto" w:fill="003A70"/>
            <w:hideMark/>
          </w:tcPr>
          <w:p w14:paraId="66F0A3C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537" w:type="pct"/>
            <w:shd w:val="clear" w:color="auto" w:fill="auto"/>
            <w:hideMark/>
          </w:tcPr>
          <w:p w14:paraId="38C8B8AE"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color w:val="000000"/>
                <w:szCs w:val="16"/>
                <w:lang w:eastAsia="es-CR"/>
              </w:rPr>
              <w:t>2024:</w:t>
            </w:r>
            <w:r w:rsidRPr="0073029B">
              <w:rPr>
                <w:rFonts w:eastAsia="Times New Roman" w:cs="Tahoma"/>
                <w:color w:val="000000"/>
                <w:szCs w:val="16"/>
                <w:lang w:eastAsia="es-CR"/>
              </w:rPr>
              <w:t xml:space="preserve"> Se modificó la definición conceptual, la fórmula de cálculo, los componentes involucrados en la fórmula del cálculo, la fuente de información, el tipo de operación estadística y la meta. Oficio de aprobación </w:t>
            </w:r>
            <w:bookmarkStart w:id="69" w:name="_Hlk191368734"/>
            <w:r w:rsidRPr="0073029B">
              <w:rPr>
                <w:rFonts w:eastAsia="Times New Roman" w:cs="Tahoma"/>
                <w:color w:val="000000"/>
                <w:szCs w:val="16"/>
                <w:lang w:eastAsia="es-CR"/>
              </w:rPr>
              <w:t xml:space="preserve">MIDEPLAN-DVM-OF-0502-2024 </w:t>
            </w:r>
            <w:bookmarkEnd w:id="69"/>
            <w:r w:rsidRPr="0073029B">
              <w:rPr>
                <w:rFonts w:eastAsia="Times New Roman" w:cs="Tahoma"/>
                <w:color w:val="000000"/>
                <w:szCs w:val="16"/>
                <w:lang w:eastAsia="es-CR"/>
              </w:rPr>
              <w:t>(rige a partir de 2025).</w:t>
            </w:r>
          </w:p>
        </w:tc>
      </w:tr>
    </w:tbl>
    <w:p w14:paraId="49BAD8F5" w14:textId="77777777" w:rsidR="003855FD" w:rsidRPr="0073029B" w:rsidRDefault="003855FD" w:rsidP="003855FD">
      <w:pPr>
        <w:pStyle w:val="Default"/>
        <w:rPr>
          <w:rFonts w:ascii="Tahoma" w:eastAsia="Arial Narrow" w:hAnsi="Tahoma" w:cs="Tahoma"/>
          <w:sz w:val="16"/>
          <w:szCs w:val="16"/>
        </w:rPr>
      </w:pPr>
      <w:r w:rsidRPr="0073029B">
        <w:rPr>
          <w:rFonts w:ascii="Tahoma" w:eastAsia="Arial Narrow" w:hAnsi="Tahoma" w:cs="Tahoma"/>
          <w:sz w:val="16"/>
          <w:szCs w:val="16"/>
        </w:rPr>
        <w:t>Fuente: Dirección General de Migración y Extranjería.</w:t>
      </w:r>
    </w:p>
    <w:p w14:paraId="20221D27" w14:textId="77777777" w:rsidR="003855FD" w:rsidRPr="0073029B" w:rsidRDefault="003855FD" w:rsidP="003855FD">
      <w:pPr>
        <w:pStyle w:val="Default"/>
        <w:rPr>
          <w:rFonts w:ascii="Tahoma" w:eastAsia="Arial Narrow" w:hAnsi="Tahoma" w:cs="Tahoma"/>
          <w:sz w:val="16"/>
          <w:szCs w:val="16"/>
        </w:rPr>
      </w:pPr>
    </w:p>
    <w:bookmarkEnd w:id="63"/>
    <w:p w14:paraId="57C51518" w14:textId="77777777" w:rsidR="003855FD" w:rsidRPr="0073029B" w:rsidRDefault="003855FD" w:rsidP="003855FD">
      <w:pPr>
        <w:pStyle w:val="Default"/>
        <w:rPr>
          <w:rFonts w:ascii="Tahoma" w:eastAsia="Arial Narrow" w:hAnsi="Tahoma" w:cs="Tahoma"/>
          <w:sz w:val="16"/>
          <w:szCs w:val="16"/>
        </w:rPr>
      </w:pPr>
    </w:p>
    <w:p w14:paraId="3EC70ED6" w14:textId="77777777" w:rsidR="003855FD" w:rsidRPr="0073029B" w:rsidRDefault="003855FD" w:rsidP="003855FD">
      <w:pPr>
        <w:pStyle w:val="Default"/>
        <w:rPr>
          <w:rFonts w:ascii="Tahoma" w:eastAsia="Arial Narrow" w:hAnsi="Tahoma" w:cs="Tahoma"/>
          <w:sz w:val="16"/>
          <w:szCs w:val="16"/>
        </w:rPr>
      </w:pPr>
    </w:p>
    <w:p w14:paraId="75910EC4" w14:textId="77777777" w:rsidR="003855FD" w:rsidRPr="0073029B" w:rsidRDefault="003855FD" w:rsidP="003855FD">
      <w:pPr>
        <w:pStyle w:val="Default"/>
        <w:rPr>
          <w:rFonts w:ascii="Tahoma" w:eastAsia="Arial Narrow" w:hAnsi="Tahoma" w:cs="Tahoma"/>
          <w:sz w:val="16"/>
          <w:szCs w:val="16"/>
        </w:rPr>
      </w:pPr>
    </w:p>
    <w:p w14:paraId="58F06C0A" w14:textId="77777777" w:rsidR="003855FD" w:rsidRPr="0073029B" w:rsidRDefault="003855FD" w:rsidP="003855FD">
      <w:pPr>
        <w:pStyle w:val="Default"/>
        <w:rPr>
          <w:rFonts w:ascii="Tahoma" w:eastAsia="Arial Narrow" w:hAnsi="Tahoma" w:cs="Tahoma"/>
          <w:sz w:val="16"/>
          <w:szCs w:val="16"/>
        </w:rPr>
      </w:pPr>
    </w:p>
    <w:p w14:paraId="1A6D98C5" w14:textId="77777777" w:rsidR="003855FD" w:rsidRPr="0073029B" w:rsidRDefault="003855FD" w:rsidP="003855FD">
      <w:pPr>
        <w:pStyle w:val="Default"/>
        <w:rPr>
          <w:rFonts w:ascii="Tahoma" w:eastAsia="Arial Narrow" w:hAnsi="Tahoma" w:cs="Tahoma"/>
          <w:sz w:val="16"/>
          <w:szCs w:val="16"/>
        </w:rPr>
      </w:pPr>
    </w:p>
    <w:p w14:paraId="798A8EEF" w14:textId="77777777" w:rsidR="003855FD" w:rsidRPr="0073029B" w:rsidRDefault="003855FD" w:rsidP="003855FD">
      <w:pPr>
        <w:pStyle w:val="Default"/>
        <w:rPr>
          <w:rFonts w:ascii="Tahoma" w:eastAsia="Arial Narrow" w:hAnsi="Tahoma" w:cs="Tahoma"/>
          <w:sz w:val="16"/>
          <w:szCs w:val="16"/>
        </w:rPr>
      </w:pPr>
    </w:p>
    <w:p w14:paraId="539A7111" w14:textId="77777777" w:rsidR="003855FD" w:rsidRPr="0073029B" w:rsidRDefault="003855FD" w:rsidP="003855FD">
      <w:pPr>
        <w:pStyle w:val="Default"/>
        <w:rPr>
          <w:rFonts w:ascii="Tahoma" w:eastAsia="Arial Narrow" w:hAnsi="Tahoma" w:cs="Tahoma"/>
          <w:sz w:val="16"/>
          <w:szCs w:val="16"/>
        </w:rPr>
      </w:pPr>
    </w:p>
    <w:p w14:paraId="66F077F5" w14:textId="77777777" w:rsidR="003855FD" w:rsidRPr="0073029B" w:rsidRDefault="003855FD" w:rsidP="003855FD">
      <w:pPr>
        <w:pStyle w:val="Default"/>
        <w:rPr>
          <w:rFonts w:ascii="Tahoma" w:eastAsia="Arial Narrow" w:hAnsi="Tahoma" w:cs="Tahoma"/>
          <w:sz w:val="16"/>
          <w:szCs w:val="16"/>
        </w:rPr>
      </w:pPr>
    </w:p>
    <w:p w14:paraId="3236E997" w14:textId="77777777" w:rsidR="003855FD" w:rsidRPr="0073029B" w:rsidRDefault="003855FD" w:rsidP="003855FD">
      <w:pPr>
        <w:pStyle w:val="Default"/>
        <w:rPr>
          <w:rFonts w:ascii="Tahoma" w:eastAsia="Arial Narrow" w:hAnsi="Tahoma" w:cs="Tahoma"/>
          <w:sz w:val="16"/>
          <w:szCs w:val="16"/>
        </w:rPr>
      </w:pPr>
    </w:p>
    <w:p w14:paraId="7FAC1BCB" w14:textId="77777777" w:rsidR="003855FD" w:rsidRPr="0073029B" w:rsidRDefault="003855FD" w:rsidP="003855FD">
      <w:pPr>
        <w:pStyle w:val="Default"/>
        <w:rPr>
          <w:rFonts w:ascii="Tahoma" w:eastAsia="Arial Narrow" w:hAnsi="Tahoma" w:cs="Tahoma"/>
          <w:sz w:val="16"/>
          <w:szCs w:val="16"/>
        </w:rPr>
      </w:pPr>
    </w:p>
    <w:p w14:paraId="08B34811" w14:textId="77777777" w:rsidR="003855FD" w:rsidRPr="0073029B" w:rsidRDefault="003855FD" w:rsidP="003855FD">
      <w:pPr>
        <w:pStyle w:val="Default"/>
        <w:rPr>
          <w:rFonts w:ascii="Tahoma" w:eastAsia="Arial Narrow" w:hAnsi="Tahoma" w:cs="Tahoma"/>
          <w:sz w:val="16"/>
          <w:szCs w:val="16"/>
        </w:rPr>
      </w:pPr>
    </w:p>
    <w:p w14:paraId="60E05777" w14:textId="77777777" w:rsidR="003855FD" w:rsidRPr="0073029B" w:rsidRDefault="003855FD" w:rsidP="003855FD">
      <w:pPr>
        <w:pStyle w:val="Default"/>
        <w:rPr>
          <w:rFonts w:ascii="Tahoma" w:eastAsia="Arial Narrow" w:hAnsi="Tahoma" w:cs="Tahoma"/>
          <w:sz w:val="16"/>
          <w:szCs w:val="16"/>
        </w:rPr>
      </w:pPr>
    </w:p>
    <w:p w14:paraId="19885F47" w14:textId="77777777" w:rsidR="003855FD" w:rsidRPr="0073029B" w:rsidRDefault="003855FD" w:rsidP="003855FD">
      <w:pPr>
        <w:pStyle w:val="Default"/>
        <w:rPr>
          <w:rFonts w:ascii="Tahoma" w:eastAsia="Arial Narrow" w:hAnsi="Tahoma" w:cs="Tahoma"/>
          <w:sz w:val="16"/>
          <w:szCs w:val="16"/>
        </w:rPr>
      </w:pPr>
    </w:p>
    <w:p w14:paraId="1FBBE19D" w14:textId="77777777" w:rsidR="003855FD" w:rsidRPr="0073029B" w:rsidRDefault="003855FD" w:rsidP="003855FD">
      <w:pPr>
        <w:pStyle w:val="Default"/>
        <w:jc w:val="both"/>
        <w:rPr>
          <w:rFonts w:ascii="Tahoma" w:eastAsia="Arial Narrow" w:hAnsi="Tahoma" w:cs="Tahoma"/>
          <w:sz w:val="18"/>
          <w:szCs w:val="16"/>
        </w:rPr>
      </w:pPr>
    </w:p>
    <w:p w14:paraId="05CB0E11" w14:textId="77777777" w:rsidR="003855FD" w:rsidRPr="0073029B" w:rsidRDefault="003855FD" w:rsidP="003855FD">
      <w:pPr>
        <w:pStyle w:val="Default"/>
        <w:spacing w:line="276" w:lineRule="auto"/>
        <w:jc w:val="both"/>
        <w:rPr>
          <w:rFonts w:ascii="Tahoma" w:eastAsia="Arial Narrow" w:hAnsi="Tahoma" w:cs="Tahoma"/>
          <w:sz w:val="18"/>
          <w:szCs w:val="16"/>
          <w:u w:val="single"/>
        </w:rPr>
      </w:pPr>
      <w:bookmarkStart w:id="70" w:name="_Hlk191373319"/>
      <w:r w:rsidRPr="0073029B">
        <w:rPr>
          <w:rFonts w:ascii="Tahoma" w:eastAsia="Arial Narrow" w:hAnsi="Tahoma" w:cs="Tahoma"/>
          <w:b/>
          <w:sz w:val="18"/>
          <w:szCs w:val="16"/>
          <w:u w:val="single"/>
        </w:rPr>
        <w:lastRenderedPageBreak/>
        <w:t>Intervención Pública 6.</w:t>
      </w:r>
      <w:r w:rsidRPr="0073029B">
        <w:rPr>
          <w:rFonts w:ascii="Tahoma" w:eastAsia="Arial Narrow" w:hAnsi="Tahoma" w:cs="Tahoma"/>
          <w:sz w:val="18"/>
          <w:szCs w:val="16"/>
          <w:u w:val="single"/>
        </w:rPr>
        <w:t xml:space="preserve"> Modelo Preventivo de gestión Policial.</w:t>
      </w:r>
    </w:p>
    <w:p w14:paraId="59E76755" w14:textId="77777777" w:rsidR="003855FD" w:rsidRPr="0073029B" w:rsidRDefault="003855FD" w:rsidP="003855FD">
      <w:pPr>
        <w:pStyle w:val="Default"/>
        <w:spacing w:line="276" w:lineRule="auto"/>
        <w:jc w:val="both"/>
        <w:rPr>
          <w:rFonts w:ascii="Tahoma" w:eastAsia="Arial Narrow" w:hAnsi="Tahoma" w:cs="Tahoma"/>
          <w:sz w:val="18"/>
          <w:szCs w:val="16"/>
        </w:rPr>
      </w:pPr>
    </w:p>
    <w:p w14:paraId="1D741AD2" w14:textId="77777777" w:rsidR="003855FD" w:rsidRPr="0073029B" w:rsidRDefault="003855FD" w:rsidP="003855FD">
      <w:pPr>
        <w:pStyle w:val="Default"/>
        <w:spacing w:line="276" w:lineRule="auto"/>
        <w:jc w:val="both"/>
        <w:rPr>
          <w:rFonts w:ascii="Tahoma" w:eastAsia="Arial Narrow" w:hAnsi="Tahoma" w:cs="Tahoma"/>
          <w:sz w:val="18"/>
          <w:szCs w:val="16"/>
        </w:rPr>
      </w:pPr>
      <w:r w:rsidRPr="0073029B">
        <w:rPr>
          <w:rFonts w:ascii="Tahoma" w:eastAsia="Arial Narrow" w:hAnsi="Tahoma" w:cs="Tahoma"/>
          <w:b/>
          <w:sz w:val="18"/>
          <w:szCs w:val="16"/>
        </w:rPr>
        <w:t>Objetivo 6.1</w:t>
      </w:r>
      <w:r w:rsidRPr="0073029B">
        <w:rPr>
          <w:rFonts w:ascii="Tahoma" w:eastAsia="Arial Narrow" w:hAnsi="Tahoma" w:cs="Tahoma"/>
          <w:sz w:val="18"/>
          <w:szCs w:val="16"/>
        </w:rPr>
        <w:t xml:space="preserve"> Articular capacidades institucionales e interinstitucionales que faciliten la identificación y categorización de estructuras criminales y delincuenciales, así como fenómenos y factores que inciden y afectan la seguridad y convivencia ciudadana en el marco del Modelo Preventivo de Gestión de la Fuerza Pública.</w:t>
      </w:r>
    </w:p>
    <w:p w14:paraId="0A35B632" w14:textId="77777777" w:rsidR="003855FD" w:rsidRPr="0073029B" w:rsidRDefault="003855FD" w:rsidP="003855FD">
      <w:pPr>
        <w:pStyle w:val="Default"/>
        <w:spacing w:line="276" w:lineRule="auto"/>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0"/>
        <w:gridCol w:w="1009"/>
        <w:gridCol w:w="6984"/>
      </w:tblGrid>
      <w:tr w:rsidR="003855FD" w:rsidRPr="0073029B" w14:paraId="58349287" w14:textId="77777777" w:rsidTr="004D2834">
        <w:trPr>
          <w:trHeight w:val="228"/>
          <w:tblHeader/>
        </w:trPr>
        <w:tc>
          <w:tcPr>
            <w:tcW w:w="1254" w:type="pct"/>
            <w:gridSpan w:val="2"/>
            <w:shd w:val="clear" w:color="auto" w:fill="003A70"/>
            <w:vAlign w:val="center"/>
            <w:hideMark/>
          </w:tcPr>
          <w:p w14:paraId="499B4FB7"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746" w:type="pct"/>
            <w:shd w:val="clear" w:color="auto" w:fill="003A70"/>
            <w:vAlign w:val="center"/>
            <w:hideMark/>
          </w:tcPr>
          <w:p w14:paraId="664DF81E"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A.6.1.1</w:t>
            </w:r>
          </w:p>
        </w:tc>
      </w:tr>
      <w:tr w:rsidR="003855FD" w:rsidRPr="0073029B" w14:paraId="1E7F62BE" w14:textId="77777777" w:rsidTr="004D2834">
        <w:trPr>
          <w:trHeight w:val="288"/>
          <w:tblHeader/>
        </w:trPr>
        <w:tc>
          <w:tcPr>
            <w:tcW w:w="1254" w:type="pct"/>
            <w:gridSpan w:val="2"/>
            <w:shd w:val="clear" w:color="000000" w:fill="D9D9D9"/>
            <w:vAlign w:val="center"/>
            <w:hideMark/>
          </w:tcPr>
          <w:p w14:paraId="73E63A01"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746" w:type="pct"/>
            <w:shd w:val="clear" w:color="000000" w:fill="D9D9D9"/>
            <w:vAlign w:val="center"/>
            <w:hideMark/>
          </w:tcPr>
          <w:p w14:paraId="624C26F5"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684B205C" w14:textId="77777777" w:rsidTr="004D2834">
        <w:trPr>
          <w:trHeight w:val="528"/>
        </w:trPr>
        <w:tc>
          <w:tcPr>
            <w:tcW w:w="1254" w:type="pct"/>
            <w:gridSpan w:val="2"/>
            <w:shd w:val="clear" w:color="auto" w:fill="003A70"/>
            <w:hideMark/>
          </w:tcPr>
          <w:p w14:paraId="17FBCF6B"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746" w:type="pct"/>
            <w:shd w:val="clear" w:color="auto" w:fill="003A70"/>
            <w:hideMark/>
          </w:tcPr>
          <w:p w14:paraId="3250FEC9" w14:textId="77777777" w:rsidR="003855FD" w:rsidRPr="0073029B" w:rsidRDefault="003855FD" w:rsidP="004D2834">
            <w:pPr>
              <w:spacing w:after="0"/>
              <w:jc w:val="both"/>
              <w:rPr>
                <w:rFonts w:cs="Tahoma"/>
                <w:b/>
                <w:lang w:eastAsia="es-CR"/>
              </w:rPr>
            </w:pPr>
            <w:bookmarkStart w:id="71" w:name="_Toc202257797"/>
            <w:r w:rsidRPr="0073029B">
              <w:rPr>
                <w:rFonts w:cs="Tahoma"/>
                <w:b/>
                <w:lang w:eastAsia="es-CR"/>
              </w:rPr>
              <w:t>A.6.1.1 Porcentaje de operativos policiales articulados y registrados mediante Órdenes de Servicio a partir de los insumos generados del Modelo de Articulación Operacional, en el marco de la Estrategia Sembremos Seguridad.</w:t>
            </w:r>
            <w:bookmarkEnd w:id="71"/>
          </w:p>
        </w:tc>
      </w:tr>
      <w:tr w:rsidR="003855FD" w:rsidRPr="0073029B" w14:paraId="488D6CF1" w14:textId="77777777" w:rsidTr="004D2834">
        <w:trPr>
          <w:trHeight w:val="727"/>
        </w:trPr>
        <w:tc>
          <w:tcPr>
            <w:tcW w:w="1254" w:type="pct"/>
            <w:gridSpan w:val="2"/>
            <w:shd w:val="clear" w:color="auto" w:fill="auto"/>
            <w:hideMark/>
          </w:tcPr>
          <w:p w14:paraId="2525643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746" w:type="pct"/>
            <w:shd w:val="clear" w:color="auto" w:fill="auto"/>
            <w:hideMark/>
          </w:tcPr>
          <w:p w14:paraId="2682FA1C"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Desde Fuerza Pública existe dos principales mecanismos para articular operativamente con el Ministerio Público y el Organismo de Investigación Judicial, la primera es el modelo de articulación operacional y de control de delitos y la segunda por medio del enlace directo de coordinación.</w:t>
            </w:r>
            <w:r w:rsidRPr="0073029B">
              <w:rPr>
                <w:rFonts w:eastAsia="Times New Roman" w:cs="Tahoma"/>
                <w:color w:val="000000"/>
                <w:szCs w:val="16"/>
                <w:lang w:eastAsia="es-CR"/>
              </w:rPr>
              <w:br/>
            </w:r>
            <w:r w:rsidRPr="0073029B">
              <w:rPr>
                <w:rFonts w:eastAsia="Times New Roman" w:cs="Tahoma"/>
                <w:color w:val="000000"/>
                <w:szCs w:val="16"/>
                <w:lang w:eastAsia="es-CR"/>
              </w:rPr>
              <w:br/>
              <w:t>El objetivo del Modelo de articulación operacional y de control de delitos es la articulación de capacidades institucionales e interinstitucionales a nivel nacional, identificación, categorización de estructuras criminales y delincuenciales, así como fenómenos que inciden y afectan la seguridad y convivencia ciudadana a nivel nacional. Funciona en el marco de la Estrategia Nacional Sembremos Seguridad.</w:t>
            </w:r>
          </w:p>
          <w:p w14:paraId="09C1D360"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 xml:space="preserve">Desde Fuerza Pública, el enlace es la Dirección de Inteligencia y Análisis Criminal (DIAC), quien recibe la información desde las delegaciones policiales y Direcciones Regionales, las somete a tratamiento y análisis, así como su integración y la traslada al Centro Integrado de Articulación Operacional, del cual forma </w:t>
            </w:r>
            <w:proofErr w:type="spellStart"/>
            <w:r w:rsidRPr="0073029B">
              <w:rPr>
                <w:rFonts w:eastAsia="Times New Roman" w:cs="Tahoma"/>
                <w:color w:val="000000"/>
                <w:szCs w:val="16"/>
                <w:lang w:eastAsia="es-CR"/>
              </w:rPr>
              <w:t>parte.Estas</w:t>
            </w:r>
            <w:proofErr w:type="spellEnd"/>
            <w:r w:rsidRPr="0073029B">
              <w:rPr>
                <w:rFonts w:eastAsia="Times New Roman" w:cs="Tahoma"/>
                <w:color w:val="000000"/>
                <w:szCs w:val="16"/>
                <w:lang w:eastAsia="es-CR"/>
              </w:rPr>
              <w:t xml:space="preserve"> coordinaciones operativas, denominadas operativos quedarán registradas bajo una Orden de Servicio, la cuales son de carácter confidencial debido a que se trabaja información sensible sobre estructuras criminales.</w:t>
            </w:r>
          </w:p>
          <w:p w14:paraId="6BD6BD20"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Se debe entender como “operativos articulados” todas aquellas acciones policiales que se generen con el acompañamiento de dos o más cuerpos policiales a partir de la identificación de insumos (identificación, categorización de estructuras criminales y delincuenciales, así como fenómenos que inciden y afectan la seguridad y convivencia ciudadana a nivel nacional) cuya fuente sea el Modelo de Articulación Operacional.</w:t>
            </w:r>
          </w:p>
          <w:p w14:paraId="282257C2"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Estos operativos se contabilizarán por medio de Orden de Servicio que es un documento táctico operacional de carácter obligatorio y de actuación inmediata brindando los lineamientos de la planeación del servicio cuyo fin es impartir instrucciones internas a cada delegación y/o unidad a desplegar también se describirán las directivas u órdenes de operaciones relacionadas con el servicio del Policía; detallando la asignación de responsabilidades y recursos para el antes, durante y después del cumplimiento de un objetivo específico, en un período de tiempo determinado y así proveer de información necesaria a las unidades subordinadas, en forma clara y concisa. Se pueden desarrollar varias Órdenes de Servicio, las cuales deben de ser confeccionadas por las Direcciones Regionales o Policiales, la cual puede ser realizada para encomendar alguna misión a sus Delegaciones o Unidades subordinadas, sin necesidad de que exista una orden de operaciones.</w:t>
            </w:r>
          </w:p>
        </w:tc>
      </w:tr>
      <w:tr w:rsidR="003855FD" w:rsidRPr="0073029B" w14:paraId="1D7CE0E3" w14:textId="77777777" w:rsidTr="004D2834">
        <w:trPr>
          <w:trHeight w:val="360"/>
        </w:trPr>
        <w:tc>
          <w:tcPr>
            <w:tcW w:w="1254" w:type="pct"/>
            <w:gridSpan w:val="2"/>
            <w:shd w:val="clear" w:color="auto" w:fill="auto"/>
            <w:hideMark/>
          </w:tcPr>
          <w:p w14:paraId="74992D9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746" w:type="pct"/>
            <w:shd w:val="clear" w:color="auto" w:fill="auto"/>
            <w:hideMark/>
          </w:tcPr>
          <w:p w14:paraId="3377FEF6"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(Total de operativos articulados con el acompañamiento de dos o más cuerpos policiales registrados mediante Orden de Servicio/ Total de Operativos realizados y registrados mediante Orden de Servicio) * 100</w:t>
            </w:r>
          </w:p>
        </w:tc>
      </w:tr>
      <w:tr w:rsidR="003855FD" w:rsidRPr="0073029B" w14:paraId="1C0C8070" w14:textId="77777777" w:rsidTr="004D2834">
        <w:trPr>
          <w:trHeight w:val="705"/>
        </w:trPr>
        <w:tc>
          <w:tcPr>
            <w:tcW w:w="1254" w:type="pct"/>
            <w:gridSpan w:val="2"/>
            <w:shd w:val="clear" w:color="auto" w:fill="auto"/>
            <w:hideMark/>
          </w:tcPr>
          <w:p w14:paraId="5ACC1CC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746" w:type="pct"/>
            <w:shd w:val="clear" w:color="auto" w:fill="auto"/>
            <w:hideMark/>
          </w:tcPr>
          <w:p w14:paraId="637A21D1" w14:textId="77777777" w:rsidR="003855FD" w:rsidRPr="0073029B" w:rsidRDefault="003855FD" w:rsidP="004D2834">
            <w:pPr>
              <w:spacing w:after="0" w:line="240" w:lineRule="auto"/>
              <w:jc w:val="both"/>
              <w:rPr>
                <w:rFonts w:eastAsia="Times New Roman" w:cs="Tahoma"/>
                <w:color w:val="000000"/>
                <w:szCs w:val="16"/>
                <w:lang w:eastAsia="es-CR"/>
              </w:rPr>
            </w:pPr>
            <w:proofErr w:type="gramStart"/>
            <w:r w:rsidRPr="0073029B">
              <w:rPr>
                <w:rFonts w:eastAsia="Times New Roman" w:cs="Tahoma"/>
                <w:color w:val="000000"/>
                <w:szCs w:val="16"/>
                <w:lang w:eastAsia="es-CR"/>
              </w:rPr>
              <w:t>Total</w:t>
            </w:r>
            <w:proofErr w:type="gramEnd"/>
            <w:r w:rsidRPr="0073029B">
              <w:rPr>
                <w:rFonts w:eastAsia="Times New Roman" w:cs="Tahoma"/>
                <w:color w:val="000000"/>
                <w:szCs w:val="16"/>
                <w:lang w:eastAsia="es-CR"/>
              </w:rPr>
              <w:t xml:space="preserve"> de operativos articulados: Es la suma total de operativos articulados realizados en acompañamiento de dos o más cuerpos policiales registrados mediante Orden de Servicio.</w:t>
            </w:r>
          </w:p>
          <w:p w14:paraId="5F7028F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r>
            <w:proofErr w:type="gramStart"/>
            <w:r w:rsidRPr="0073029B">
              <w:rPr>
                <w:rFonts w:eastAsia="Times New Roman" w:cs="Tahoma"/>
                <w:color w:val="000000"/>
                <w:szCs w:val="16"/>
                <w:lang w:eastAsia="es-CR"/>
              </w:rPr>
              <w:t>Total</w:t>
            </w:r>
            <w:proofErr w:type="gramEnd"/>
            <w:r w:rsidRPr="0073029B">
              <w:rPr>
                <w:rFonts w:eastAsia="Times New Roman" w:cs="Tahoma"/>
                <w:color w:val="000000"/>
                <w:szCs w:val="16"/>
                <w:lang w:eastAsia="es-CR"/>
              </w:rPr>
              <w:t xml:space="preserve"> de Operativos realizados: Es la suma total de operativos realizados registrados mediante Orden de Servicio. (por parte del DIAC) las directivas u órdenes de operaciones relacionadas con el servicio del Policía; detallando la asignación de responsabilidades y recursos para el antes, durante y después del cumplimiento de un objetivo específico, en un período de tiempo determinado y así proveer de información necesaria a las unidades subordinadas, en forma clara y concisa. Se pueden desarrollar ciudadana a nivel nacional) cuya fuente sea el Modelo de Articulación Operacional.</w:t>
            </w:r>
          </w:p>
          <w:p w14:paraId="6CE1587C"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 xml:space="preserve">Estos operativos se contabilizarán por medio de Orden de Servicio que es un documento táctico operacional de carácter obligatorio y de actuación inmediata brindando los lineamientos de la </w:t>
            </w:r>
            <w:r w:rsidRPr="0073029B">
              <w:rPr>
                <w:rFonts w:eastAsia="Times New Roman" w:cs="Tahoma"/>
                <w:color w:val="000000"/>
                <w:szCs w:val="16"/>
                <w:lang w:eastAsia="es-CR"/>
              </w:rPr>
              <w:lastRenderedPageBreak/>
              <w:t>planeación del servicio cuyo fin es impartir instrucciones internas a cada delegación y/o unidad a desplegar también se describirán varias Órdenes de Servicio, las cuales deben de ser confeccionadas por las Direcciones Regionales o Policiales, la cual puede ser realizada para encomendar alguna misión a sus Delegaciones o Unidades subordinadas, sin necesidad de que exista una orden de operaciones</w:t>
            </w:r>
          </w:p>
        </w:tc>
      </w:tr>
      <w:tr w:rsidR="003855FD" w:rsidRPr="0073029B" w14:paraId="688C6B2D" w14:textId="77777777" w:rsidTr="004D2834">
        <w:trPr>
          <w:trHeight w:val="288"/>
        </w:trPr>
        <w:tc>
          <w:tcPr>
            <w:tcW w:w="1254" w:type="pct"/>
            <w:gridSpan w:val="2"/>
            <w:shd w:val="clear" w:color="auto" w:fill="auto"/>
            <w:hideMark/>
          </w:tcPr>
          <w:p w14:paraId="26A8180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Unidad de medida</w:t>
            </w:r>
          </w:p>
        </w:tc>
        <w:tc>
          <w:tcPr>
            <w:tcW w:w="3746" w:type="pct"/>
            <w:shd w:val="clear" w:color="auto" w:fill="auto"/>
            <w:hideMark/>
          </w:tcPr>
          <w:p w14:paraId="19AEF8D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Porcentaje</w:t>
            </w:r>
          </w:p>
        </w:tc>
      </w:tr>
      <w:tr w:rsidR="003855FD" w:rsidRPr="0073029B" w14:paraId="47347929" w14:textId="77777777" w:rsidTr="004D2834">
        <w:trPr>
          <w:trHeight w:val="360"/>
        </w:trPr>
        <w:tc>
          <w:tcPr>
            <w:tcW w:w="1254" w:type="pct"/>
            <w:gridSpan w:val="2"/>
            <w:shd w:val="clear" w:color="auto" w:fill="auto"/>
            <w:hideMark/>
          </w:tcPr>
          <w:p w14:paraId="6DF883D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746" w:type="pct"/>
            <w:shd w:val="clear" w:color="auto" w:fill="auto"/>
            <w:hideMark/>
          </w:tcPr>
          <w:p w14:paraId="71E7084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Durante el año "XX", la Fuerza Pública realizó a nivel nacional “XX porcentaje" de Operativos Policiales articulados a partir de insumos generados del Modelo de Articulación Operacional.</w:t>
            </w:r>
          </w:p>
        </w:tc>
      </w:tr>
      <w:tr w:rsidR="003855FD" w:rsidRPr="0073029B" w14:paraId="407DAD9C" w14:textId="77777777" w:rsidTr="004D2834">
        <w:trPr>
          <w:trHeight w:val="1080"/>
        </w:trPr>
        <w:tc>
          <w:tcPr>
            <w:tcW w:w="713" w:type="pct"/>
            <w:vMerge w:val="restart"/>
            <w:shd w:val="clear" w:color="auto" w:fill="auto"/>
            <w:hideMark/>
          </w:tcPr>
          <w:p w14:paraId="4318E1C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541" w:type="pct"/>
            <w:shd w:val="clear" w:color="auto" w:fill="auto"/>
            <w:hideMark/>
          </w:tcPr>
          <w:p w14:paraId="2C99640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746" w:type="pct"/>
            <w:shd w:val="clear" w:color="auto" w:fill="auto"/>
            <w:hideMark/>
          </w:tcPr>
          <w:p w14:paraId="139E71BA"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Nacional. </w:t>
            </w:r>
            <w:r w:rsidRPr="0073029B">
              <w:rPr>
                <w:rFonts w:eastAsia="Times New Roman" w:cs="Tahoma"/>
                <w:color w:val="000000"/>
                <w:szCs w:val="16"/>
                <w:lang w:eastAsia="es-CR"/>
              </w:rPr>
              <w:br/>
              <w:t>La división geográfica de la Dirección General de la Fuerza Pública se basa en criterios operativos por lo que esta división difiere de la división política administrativa, e incluso de la división de regiones de planificación. Por ello la división geográfica se establece según las siguientes regiones operativas: Dirección Regional San José, Dirección Regional Alajuela, Dirección Regional Cartago, Dirección Regional Heredia, Dirección Regional Chorotega, Dirección Regional Pacífico Central, Dirección Regional Brunca, Dirección Regional Huetar Norte, Dirección Regional Huetar Atlántica, Dirección Regional Brunca Sur, Dirección Regional Chorotega Norte, Dirección Regional Caribe.</w:t>
            </w:r>
          </w:p>
        </w:tc>
      </w:tr>
      <w:tr w:rsidR="003855FD" w:rsidRPr="0073029B" w14:paraId="29811249" w14:textId="77777777" w:rsidTr="004D2834">
        <w:trPr>
          <w:trHeight w:val="540"/>
        </w:trPr>
        <w:tc>
          <w:tcPr>
            <w:tcW w:w="713" w:type="pct"/>
            <w:vMerge/>
            <w:vAlign w:val="center"/>
            <w:hideMark/>
          </w:tcPr>
          <w:p w14:paraId="307A06A0" w14:textId="77777777" w:rsidR="003855FD" w:rsidRPr="0073029B" w:rsidRDefault="003855FD" w:rsidP="004D2834">
            <w:pPr>
              <w:spacing w:after="0" w:line="240" w:lineRule="auto"/>
              <w:rPr>
                <w:rFonts w:eastAsia="Times New Roman" w:cs="Tahoma"/>
                <w:b/>
                <w:bCs/>
                <w:color w:val="000000"/>
                <w:szCs w:val="16"/>
                <w:lang w:eastAsia="es-CR"/>
              </w:rPr>
            </w:pPr>
          </w:p>
        </w:tc>
        <w:tc>
          <w:tcPr>
            <w:tcW w:w="541" w:type="pct"/>
            <w:shd w:val="clear" w:color="auto" w:fill="auto"/>
            <w:hideMark/>
          </w:tcPr>
          <w:p w14:paraId="545CF08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746" w:type="pct"/>
            <w:shd w:val="clear" w:color="auto" w:fill="auto"/>
            <w:hideMark/>
          </w:tcPr>
          <w:p w14:paraId="0C83708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Estructuras criminales y delincuenciales y/o fenómenos que inciden la seguridad y convivencia ciudadana a nivel nacional.</w:t>
            </w:r>
          </w:p>
        </w:tc>
      </w:tr>
      <w:tr w:rsidR="003855FD" w:rsidRPr="0073029B" w14:paraId="6CB74578" w14:textId="77777777" w:rsidTr="004D2834">
        <w:trPr>
          <w:trHeight w:val="288"/>
        </w:trPr>
        <w:tc>
          <w:tcPr>
            <w:tcW w:w="1254" w:type="pct"/>
            <w:gridSpan w:val="2"/>
            <w:shd w:val="clear" w:color="auto" w:fill="auto"/>
            <w:hideMark/>
          </w:tcPr>
          <w:p w14:paraId="57A73E2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746" w:type="pct"/>
            <w:shd w:val="clear" w:color="auto" w:fill="auto"/>
            <w:hideMark/>
          </w:tcPr>
          <w:p w14:paraId="4609456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ND</w:t>
            </w:r>
          </w:p>
        </w:tc>
      </w:tr>
      <w:tr w:rsidR="003855FD" w:rsidRPr="0073029B" w14:paraId="618341DE" w14:textId="77777777" w:rsidTr="004D2834">
        <w:trPr>
          <w:trHeight w:val="1080"/>
        </w:trPr>
        <w:tc>
          <w:tcPr>
            <w:tcW w:w="1254" w:type="pct"/>
            <w:gridSpan w:val="2"/>
            <w:shd w:val="clear" w:color="auto" w:fill="auto"/>
            <w:hideMark/>
          </w:tcPr>
          <w:p w14:paraId="4DF1056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746" w:type="pct"/>
            <w:shd w:val="clear" w:color="auto" w:fill="auto"/>
            <w:hideMark/>
          </w:tcPr>
          <w:p w14:paraId="32682C96"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90%</w:t>
            </w:r>
            <w:r w:rsidRPr="0073029B">
              <w:rPr>
                <w:rFonts w:eastAsia="Times New Roman" w:cs="Tahoma"/>
                <w:color w:val="000000"/>
                <w:szCs w:val="16"/>
                <w:lang w:eastAsia="es-CR"/>
              </w:rPr>
              <w:br/>
            </w:r>
            <w:r w:rsidRPr="0073029B">
              <w:rPr>
                <w:rFonts w:eastAsia="Times New Roman" w:cs="Tahoma"/>
                <w:color w:val="000000"/>
                <w:szCs w:val="16"/>
                <w:lang w:eastAsia="es-CR"/>
              </w:rPr>
              <w:br/>
              <w:t>2023: 70%</w:t>
            </w:r>
            <w:r w:rsidRPr="0073029B">
              <w:rPr>
                <w:rFonts w:eastAsia="Times New Roman" w:cs="Tahoma"/>
                <w:color w:val="000000"/>
                <w:szCs w:val="16"/>
                <w:lang w:eastAsia="es-CR"/>
              </w:rPr>
              <w:br/>
              <w:t>2024: 75%</w:t>
            </w:r>
            <w:r w:rsidRPr="0073029B">
              <w:rPr>
                <w:rFonts w:eastAsia="Times New Roman" w:cs="Tahoma"/>
                <w:color w:val="000000"/>
                <w:szCs w:val="16"/>
                <w:lang w:eastAsia="es-CR"/>
              </w:rPr>
              <w:br/>
              <w:t>2025: 80%</w:t>
            </w:r>
            <w:r w:rsidRPr="0073029B">
              <w:rPr>
                <w:rFonts w:eastAsia="Times New Roman" w:cs="Tahoma"/>
                <w:color w:val="000000"/>
                <w:szCs w:val="16"/>
                <w:lang w:eastAsia="es-CR"/>
              </w:rPr>
              <w:br/>
              <w:t>2026: 90%</w:t>
            </w:r>
          </w:p>
        </w:tc>
      </w:tr>
      <w:tr w:rsidR="003855FD" w:rsidRPr="0073029B" w14:paraId="0A06BE21" w14:textId="77777777" w:rsidTr="004D2834">
        <w:trPr>
          <w:trHeight w:val="420"/>
        </w:trPr>
        <w:tc>
          <w:tcPr>
            <w:tcW w:w="1254" w:type="pct"/>
            <w:gridSpan w:val="2"/>
            <w:shd w:val="clear" w:color="auto" w:fill="auto"/>
            <w:hideMark/>
          </w:tcPr>
          <w:p w14:paraId="0382D78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 seguimiento</w:t>
            </w:r>
          </w:p>
        </w:tc>
        <w:tc>
          <w:tcPr>
            <w:tcW w:w="3746" w:type="pct"/>
            <w:shd w:val="clear" w:color="auto" w:fill="auto"/>
            <w:hideMark/>
          </w:tcPr>
          <w:p w14:paraId="4D928BB7"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Semestral y anual</w:t>
            </w:r>
          </w:p>
        </w:tc>
      </w:tr>
      <w:tr w:rsidR="003855FD" w:rsidRPr="0073029B" w14:paraId="106F12BD" w14:textId="77777777" w:rsidTr="004D2834">
        <w:trPr>
          <w:trHeight w:val="468"/>
        </w:trPr>
        <w:tc>
          <w:tcPr>
            <w:tcW w:w="1254" w:type="pct"/>
            <w:gridSpan w:val="2"/>
            <w:shd w:val="clear" w:color="auto" w:fill="auto"/>
            <w:hideMark/>
          </w:tcPr>
          <w:p w14:paraId="3FB8B8E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746" w:type="pct"/>
            <w:shd w:val="clear" w:color="auto" w:fill="auto"/>
            <w:hideMark/>
          </w:tcPr>
          <w:p w14:paraId="2C994EC1"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Ministerio de Seguridad Pública. Dirección General de la Fuerza Pública. Dirección de Inteligencia y Análisis Criminal. Informes trimestrales de Ordenes de Servicio, carpetas digitales de las Ordenes de Servicio que se realizan previo a la ejecución de los operativos articulados.</w:t>
            </w:r>
          </w:p>
        </w:tc>
      </w:tr>
      <w:tr w:rsidR="003855FD" w:rsidRPr="0073029B" w14:paraId="5AA0DE6D" w14:textId="77777777" w:rsidTr="004D2834">
        <w:trPr>
          <w:trHeight w:val="421"/>
        </w:trPr>
        <w:tc>
          <w:tcPr>
            <w:tcW w:w="1254" w:type="pct"/>
            <w:gridSpan w:val="2"/>
            <w:shd w:val="clear" w:color="auto" w:fill="auto"/>
            <w:hideMark/>
          </w:tcPr>
          <w:p w14:paraId="102EA13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746" w:type="pct"/>
            <w:shd w:val="clear" w:color="auto" w:fill="auto"/>
            <w:hideMark/>
          </w:tcPr>
          <w:p w14:paraId="67EBC2E6"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602EB013" w14:textId="77777777" w:rsidTr="004D2834">
        <w:trPr>
          <w:trHeight w:val="312"/>
        </w:trPr>
        <w:tc>
          <w:tcPr>
            <w:tcW w:w="1254" w:type="pct"/>
            <w:gridSpan w:val="2"/>
            <w:shd w:val="clear" w:color="auto" w:fill="auto"/>
            <w:hideMark/>
          </w:tcPr>
          <w:p w14:paraId="6881D28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746" w:type="pct"/>
            <w:shd w:val="clear" w:color="auto" w:fill="auto"/>
            <w:hideMark/>
          </w:tcPr>
          <w:p w14:paraId="5775E067"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Registro Administrativo de Operativos Policiales articulados bajo Orden de Servicio</w:t>
            </w:r>
          </w:p>
        </w:tc>
      </w:tr>
      <w:tr w:rsidR="003855FD" w:rsidRPr="0073029B" w14:paraId="70D89C57" w14:textId="77777777" w:rsidTr="004D2834">
        <w:trPr>
          <w:trHeight w:val="384"/>
        </w:trPr>
        <w:tc>
          <w:tcPr>
            <w:tcW w:w="1254" w:type="pct"/>
            <w:gridSpan w:val="2"/>
            <w:shd w:val="clear" w:color="auto" w:fill="auto"/>
            <w:hideMark/>
          </w:tcPr>
          <w:p w14:paraId="7A25AEE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w:t>
            </w:r>
            <w:r w:rsidRPr="0073029B">
              <w:rPr>
                <w:rFonts w:eastAsia="Times New Roman" w:cs="Tahoma"/>
                <w:b/>
                <w:bCs/>
                <w:color w:val="000000"/>
                <w:szCs w:val="16"/>
                <w:lang w:eastAsia="es-CR"/>
              </w:rPr>
              <w:br/>
              <w:t>Sostenible (ODS) vinculado</w:t>
            </w:r>
          </w:p>
        </w:tc>
        <w:tc>
          <w:tcPr>
            <w:tcW w:w="3746" w:type="pct"/>
            <w:shd w:val="clear" w:color="auto" w:fill="auto"/>
            <w:hideMark/>
          </w:tcPr>
          <w:p w14:paraId="12B2CFBF"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16: 16.1.3, 16.2.2, 16.3.1, 16.4.2</w:t>
            </w:r>
          </w:p>
        </w:tc>
      </w:tr>
      <w:tr w:rsidR="003855FD" w:rsidRPr="0073029B" w14:paraId="41973D7D" w14:textId="77777777" w:rsidTr="004D2834">
        <w:trPr>
          <w:trHeight w:val="360"/>
        </w:trPr>
        <w:tc>
          <w:tcPr>
            <w:tcW w:w="1254" w:type="pct"/>
            <w:gridSpan w:val="2"/>
            <w:shd w:val="clear" w:color="auto" w:fill="auto"/>
            <w:hideMark/>
          </w:tcPr>
          <w:p w14:paraId="40F29A2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746" w:type="pct"/>
            <w:shd w:val="clear" w:color="auto" w:fill="auto"/>
            <w:hideMark/>
          </w:tcPr>
          <w:p w14:paraId="3610E7BE"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0F1F87E8" w14:textId="77777777" w:rsidTr="004D2834">
        <w:trPr>
          <w:trHeight w:val="456"/>
        </w:trPr>
        <w:tc>
          <w:tcPr>
            <w:tcW w:w="1254" w:type="pct"/>
            <w:gridSpan w:val="2"/>
            <w:shd w:val="clear" w:color="auto" w:fill="auto"/>
            <w:hideMark/>
          </w:tcPr>
          <w:p w14:paraId="621EB99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 de Montevideo</w:t>
            </w:r>
          </w:p>
        </w:tc>
        <w:tc>
          <w:tcPr>
            <w:tcW w:w="3746" w:type="pct"/>
            <w:shd w:val="clear" w:color="auto" w:fill="auto"/>
            <w:hideMark/>
          </w:tcPr>
          <w:p w14:paraId="4FC336F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 1 y 4</w:t>
            </w:r>
          </w:p>
        </w:tc>
      </w:tr>
      <w:tr w:rsidR="003855FD" w:rsidRPr="0073029B" w14:paraId="4E44E20E" w14:textId="77777777" w:rsidTr="004D2834">
        <w:trPr>
          <w:trHeight w:val="840"/>
        </w:trPr>
        <w:tc>
          <w:tcPr>
            <w:tcW w:w="1254" w:type="pct"/>
            <w:gridSpan w:val="2"/>
            <w:shd w:val="clear" w:color="auto" w:fill="auto"/>
            <w:hideMark/>
          </w:tcPr>
          <w:p w14:paraId="47AD864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w:t>
            </w:r>
            <w:r w:rsidRPr="0073029B">
              <w:rPr>
                <w:rFonts w:eastAsia="Times New Roman" w:cs="Tahoma"/>
                <w:b/>
                <w:bCs/>
                <w:color w:val="000000"/>
                <w:szCs w:val="16"/>
                <w:lang w:eastAsia="es-CR"/>
              </w:rPr>
              <w:br/>
              <w:t>Desarrollo</w:t>
            </w:r>
          </w:p>
        </w:tc>
        <w:tc>
          <w:tcPr>
            <w:tcW w:w="3746" w:type="pct"/>
            <w:shd w:val="clear" w:color="auto" w:fill="auto"/>
            <w:hideMark/>
          </w:tcPr>
          <w:p w14:paraId="6705381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3. PRD Pacífico Central</w:t>
            </w:r>
            <w:r w:rsidRPr="0073029B">
              <w:rPr>
                <w:rFonts w:eastAsia="Times New Roman" w:cs="Tahoma"/>
                <w:color w:val="000000"/>
                <w:szCs w:val="16"/>
                <w:lang w:eastAsia="es-CR"/>
              </w:rPr>
              <w:br/>
              <w:t>3.3. Fomentar institucional y municipalmente la gestión pública regional orientada hacia la calidad del desarrollo y la participación de los actores.</w:t>
            </w:r>
            <w:r w:rsidRPr="0073029B">
              <w:rPr>
                <w:rFonts w:eastAsia="Times New Roman" w:cs="Tahoma"/>
                <w:color w:val="000000"/>
                <w:szCs w:val="16"/>
                <w:lang w:eastAsia="es-CR"/>
              </w:rPr>
              <w:br/>
              <w:t>6. PRD Huetar Norte</w:t>
            </w:r>
            <w:r w:rsidRPr="0073029B">
              <w:rPr>
                <w:rFonts w:eastAsia="Times New Roman" w:cs="Tahoma"/>
                <w:color w:val="000000"/>
                <w:szCs w:val="16"/>
                <w:lang w:eastAsia="es-CR"/>
              </w:rPr>
              <w:br/>
              <w:t>6.6. Fortalecer la innovación y articulación de la institucionalidad regional (pública y privada).</w:t>
            </w:r>
          </w:p>
        </w:tc>
      </w:tr>
      <w:tr w:rsidR="003855FD" w:rsidRPr="0073029B" w14:paraId="7AAD6898" w14:textId="77777777" w:rsidTr="004D2834">
        <w:trPr>
          <w:trHeight w:val="5892"/>
        </w:trPr>
        <w:tc>
          <w:tcPr>
            <w:tcW w:w="1254" w:type="pct"/>
            <w:gridSpan w:val="2"/>
            <w:shd w:val="clear" w:color="auto" w:fill="auto"/>
            <w:hideMark/>
          </w:tcPr>
          <w:p w14:paraId="43A112E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Comentarios generales</w:t>
            </w:r>
          </w:p>
        </w:tc>
        <w:tc>
          <w:tcPr>
            <w:tcW w:w="3746" w:type="pct"/>
            <w:shd w:val="clear" w:color="auto" w:fill="auto"/>
            <w:hideMark/>
          </w:tcPr>
          <w:p w14:paraId="155FA76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El Modelo de Articulación Operacional fue definido por el Decreto Ejecutivo 41745-SP, el cual fue publicado en la Gaceta </w:t>
            </w:r>
            <w:proofErr w:type="spellStart"/>
            <w:r w:rsidRPr="0073029B">
              <w:rPr>
                <w:rFonts w:eastAsia="Times New Roman" w:cs="Tahoma"/>
                <w:color w:val="000000"/>
                <w:szCs w:val="16"/>
                <w:lang w:eastAsia="es-CR"/>
              </w:rPr>
              <w:t>N°</w:t>
            </w:r>
            <w:proofErr w:type="spellEnd"/>
            <w:r w:rsidRPr="0073029B">
              <w:rPr>
                <w:rFonts w:eastAsia="Times New Roman" w:cs="Tahoma"/>
                <w:color w:val="000000"/>
                <w:szCs w:val="16"/>
                <w:lang w:eastAsia="es-CR"/>
              </w:rPr>
              <w:t xml:space="preserve"> 156 del 30 de abril del 2019.</w:t>
            </w:r>
          </w:p>
          <w:p w14:paraId="11A6C336"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Este modelo se oficializa y declara de Interés Público y Nacional, el Modelo de Articulación Operacional y de Control de delitos, cuyo objetivo es la articulación de capacidades institucionales e interinstitucionales, identificación y categorización de estructuras criminales y delincuenciales y fenómenos que inciden y afectan la seguridad y convivencia ciudadana, y la desarticulación y neutralización de organizaciones delictivas, en función de desplegar insumos de política pública y estrategias conjuntas orientadas a lograr impacto a corto, mediano y largo plazo.</w:t>
            </w:r>
          </w:p>
          <w:p w14:paraId="459BB473" w14:textId="77777777" w:rsidR="003855FD" w:rsidRPr="0073029B" w:rsidRDefault="003855FD" w:rsidP="004D2834">
            <w:pPr>
              <w:spacing w:after="0" w:line="240" w:lineRule="auto"/>
              <w:jc w:val="both"/>
              <w:rPr>
                <w:rFonts w:eastAsia="Times New Roman" w:cs="Tahoma"/>
                <w:color w:val="000000"/>
                <w:szCs w:val="16"/>
                <w:lang w:eastAsia="es-CR"/>
              </w:rPr>
            </w:pPr>
          </w:p>
          <w:p w14:paraId="016684B6"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El proceso metodológico del modelo de articulación operacional, tendrá cinco fases de desarrollo lideradas por el Ministerio de Seguridad Pública, funcionarios de instituciones corresponsables en materia de seguridad, con experiencia en investigación criminal, inteligencia y organismos judiciales, quienes tendrán además la responsabilidad de aplicar la metodología y el seguimiento respectivo a fin de garantizar la ejecución de cada una de las etapas, las cuales comprenden un proceso de:</w:t>
            </w:r>
            <w:r w:rsidRPr="0073029B">
              <w:rPr>
                <w:rFonts w:eastAsia="Times New Roman" w:cs="Tahoma"/>
                <w:color w:val="000000"/>
                <w:szCs w:val="16"/>
                <w:lang w:eastAsia="es-CR"/>
              </w:rPr>
              <w:br/>
              <w:t>Elaboración de diagnósticos, que contemple el reconocimiento del territorio, población, fenómenos, variables, índices criminales, riesgos sociales, estadísticas, estudios y análisis.</w:t>
            </w:r>
          </w:p>
          <w:p w14:paraId="54FDE0EE"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Categorización, clasificación e inventarios de organizaciones, estructuras, grupos o personas que desarrollen actividades criminales y delincuenciales que inciden y afecten la seguridad y convivencia ciudadana, como también el normal desarrollo de los entornos sociales y el desarrollo humano de los habitantes del territorio nacional.</w:t>
            </w:r>
            <w:r w:rsidRPr="0073029B">
              <w:rPr>
                <w:rFonts w:eastAsia="Times New Roman" w:cs="Tahoma"/>
                <w:color w:val="000000"/>
                <w:szCs w:val="16"/>
                <w:lang w:eastAsia="es-CR"/>
              </w:rPr>
              <w:br/>
              <w:t xml:space="preserve">Convocatoria de mesas técnicas de articulación interinstitucional, al Consejo de Seguridad Nacional, de acuerdo a lo preceptuado en los artículos 11 y 12 de la Ley </w:t>
            </w:r>
            <w:proofErr w:type="spellStart"/>
            <w:r w:rsidRPr="0073029B">
              <w:rPr>
                <w:rFonts w:eastAsia="Times New Roman" w:cs="Tahoma"/>
                <w:color w:val="000000"/>
                <w:szCs w:val="16"/>
                <w:lang w:eastAsia="es-CR"/>
              </w:rPr>
              <w:t>N°</w:t>
            </w:r>
            <w:proofErr w:type="spellEnd"/>
            <w:r w:rsidRPr="0073029B">
              <w:rPr>
                <w:rFonts w:eastAsia="Times New Roman" w:cs="Tahoma"/>
                <w:color w:val="000000"/>
                <w:szCs w:val="16"/>
                <w:lang w:eastAsia="es-CR"/>
              </w:rPr>
              <w:t xml:space="preserve"> 7410 del 26 de mayo de 1994.</w:t>
            </w:r>
          </w:p>
          <w:p w14:paraId="2AAAE7C0"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Priorización y focalización de procesos operacionales conjuntos, definición de responsabilidades y corresponsabilidades institucionales e interinstitucionales para mitigar los fenómenos delincuenciales y criminales derivados de personas o grupos que afectan la seguridad pública, definición de los ámbitos de ejecución, responsabilidad y corresponsabilidad en la ejecución y seguimiento en las líneas de acción estratégicas y operacionales.</w:t>
            </w:r>
          </w:p>
          <w:p w14:paraId="7989752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Trazabilidad, medición e impacto: corresponde a la verificación puntual que efectuará un equipo de seguimiento, con el fin de identificar oportunidades de mejora en las actividades planteadas como respuesta a las líneas de acción identificadas y en los tiempos establecidos.</w:t>
            </w:r>
          </w:p>
          <w:p w14:paraId="29607984"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Alcances del modelo de articulación operacional plantea tener los siguientes alcances:</w:t>
            </w:r>
            <w:r w:rsidRPr="0073029B">
              <w:rPr>
                <w:rFonts w:eastAsia="Times New Roman" w:cs="Tahoma"/>
                <w:color w:val="000000"/>
                <w:szCs w:val="16"/>
                <w:lang w:eastAsia="es-CR"/>
              </w:rPr>
              <w:br/>
              <w:t>•Optimizar recursos y capacidades del Estado y el Poder Judicial.</w:t>
            </w:r>
          </w:p>
          <w:p w14:paraId="75228BB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•Generar acciones de articulación y coordinación institucional e interinstitucional.</w:t>
            </w:r>
          </w:p>
          <w:p w14:paraId="49564E8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•Dar una solución a la problemática de delincuencia, violencia, crimen e inseguridad que afecta la convivencia ciudadana.</w:t>
            </w:r>
          </w:p>
          <w:p w14:paraId="0F10999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•Promover la seguridad y tranquilidad de la ciudadanía.</w:t>
            </w:r>
          </w:p>
          <w:p w14:paraId="0AE1274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•Concientizar a la ciudadanía de su responsabilidad en la lucha contra el delito y promover un rol más activo.</w:t>
            </w:r>
          </w:p>
        </w:tc>
      </w:tr>
      <w:tr w:rsidR="003855FD" w:rsidRPr="0073029B" w14:paraId="368BBE41" w14:textId="77777777" w:rsidTr="004D2834">
        <w:trPr>
          <w:trHeight w:val="552"/>
        </w:trPr>
        <w:tc>
          <w:tcPr>
            <w:tcW w:w="1254" w:type="pct"/>
            <w:gridSpan w:val="2"/>
            <w:shd w:val="clear" w:color="auto" w:fill="003A70"/>
            <w:hideMark/>
          </w:tcPr>
          <w:p w14:paraId="6992953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746" w:type="pct"/>
            <w:shd w:val="clear" w:color="auto" w:fill="auto"/>
            <w:hideMark/>
          </w:tcPr>
          <w:p w14:paraId="377249F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 xml:space="preserve">2024: </w:t>
            </w:r>
            <w:r w:rsidRPr="0073029B">
              <w:rPr>
                <w:rFonts w:eastAsia="Times New Roman" w:cs="Tahoma"/>
                <w:color w:val="000000"/>
                <w:szCs w:val="16"/>
                <w:lang w:eastAsia="es-CR"/>
              </w:rPr>
              <w:t xml:space="preserve">Se modificó el objetivo de la intervención, el nombre del indicador, la definición conceptual, la fórmula de </w:t>
            </w:r>
            <w:proofErr w:type="gramStart"/>
            <w:r w:rsidRPr="0073029B">
              <w:rPr>
                <w:rFonts w:eastAsia="Times New Roman" w:cs="Tahoma"/>
                <w:color w:val="000000"/>
                <w:szCs w:val="16"/>
                <w:lang w:eastAsia="es-CR"/>
              </w:rPr>
              <w:t>cálculo,  los</w:t>
            </w:r>
            <w:proofErr w:type="gramEnd"/>
            <w:r w:rsidRPr="0073029B">
              <w:rPr>
                <w:rFonts w:eastAsia="Times New Roman" w:cs="Tahoma"/>
                <w:color w:val="000000"/>
                <w:szCs w:val="16"/>
                <w:lang w:eastAsia="es-CR"/>
              </w:rPr>
              <w:t xml:space="preserve"> componentes involucrados en la fórmula del cálculo, la desagregación geográfica  y temática, la fuente de información, el tipo de operación estadística, la vinculación con el Plan Regional de Desarrollo y los comentarios generales. Oficio de aprobación MIDEPLAN-DVM-OF-0063-2024 (rige a partir de 2024).</w:t>
            </w:r>
          </w:p>
        </w:tc>
      </w:tr>
    </w:tbl>
    <w:p w14:paraId="2A0E8853" w14:textId="77777777" w:rsidR="003855FD" w:rsidRPr="0073029B" w:rsidRDefault="003855FD" w:rsidP="003855FD">
      <w:pPr>
        <w:pStyle w:val="Default"/>
        <w:rPr>
          <w:rFonts w:ascii="Tahoma" w:eastAsia="Arial Narrow" w:hAnsi="Tahoma" w:cs="Tahoma"/>
          <w:sz w:val="16"/>
          <w:szCs w:val="16"/>
        </w:rPr>
      </w:pPr>
      <w:r w:rsidRPr="0073029B">
        <w:rPr>
          <w:rFonts w:ascii="Tahoma" w:eastAsia="Arial Narrow" w:hAnsi="Tahoma" w:cs="Tahoma"/>
          <w:sz w:val="16"/>
          <w:szCs w:val="16"/>
        </w:rPr>
        <w:t xml:space="preserve">Fuente: </w:t>
      </w:r>
      <w:r w:rsidRPr="0073029B">
        <w:rPr>
          <w:rFonts w:ascii="Tahoma" w:eastAsia="Times New Roman" w:hAnsi="Tahoma" w:cs="Tahoma"/>
          <w:sz w:val="16"/>
          <w:szCs w:val="16"/>
          <w:lang w:eastAsia="es-CR"/>
        </w:rPr>
        <w:t xml:space="preserve">Dirección General de la Fuerza Pública, Ministerio de Seguridad Pública. </w:t>
      </w:r>
    </w:p>
    <w:p w14:paraId="0A90A149" w14:textId="77777777" w:rsidR="003855FD" w:rsidRPr="0073029B" w:rsidRDefault="003855FD" w:rsidP="003855FD">
      <w:pPr>
        <w:pStyle w:val="Default"/>
        <w:rPr>
          <w:rFonts w:ascii="Tahoma" w:eastAsia="Arial Narrow" w:hAnsi="Tahoma" w:cs="Tahoma"/>
          <w:sz w:val="16"/>
          <w:szCs w:val="16"/>
        </w:rPr>
      </w:pPr>
    </w:p>
    <w:p w14:paraId="69882BC8" w14:textId="77777777" w:rsidR="003855FD" w:rsidRPr="0073029B" w:rsidRDefault="003855FD" w:rsidP="003855FD">
      <w:pPr>
        <w:pStyle w:val="Default"/>
        <w:rPr>
          <w:rFonts w:ascii="Tahoma" w:eastAsia="Arial Narrow" w:hAnsi="Tahoma" w:cs="Tahoma"/>
          <w:sz w:val="16"/>
          <w:szCs w:val="16"/>
        </w:rPr>
      </w:pPr>
    </w:p>
    <w:p w14:paraId="280495B0" w14:textId="77777777" w:rsidR="003855FD" w:rsidRPr="0073029B" w:rsidRDefault="003855FD" w:rsidP="003855FD">
      <w:pPr>
        <w:pStyle w:val="Default"/>
        <w:rPr>
          <w:rFonts w:ascii="Tahoma" w:eastAsia="Arial Narrow" w:hAnsi="Tahoma" w:cs="Tahoma"/>
          <w:sz w:val="16"/>
          <w:szCs w:val="16"/>
        </w:rPr>
      </w:pPr>
    </w:p>
    <w:p w14:paraId="52EF4858" w14:textId="77777777" w:rsidR="003855FD" w:rsidRPr="0073029B" w:rsidRDefault="003855FD"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0"/>
        <w:gridCol w:w="1009"/>
        <w:gridCol w:w="6984"/>
      </w:tblGrid>
      <w:tr w:rsidR="003855FD" w:rsidRPr="0073029B" w14:paraId="6E75679B" w14:textId="77777777" w:rsidTr="004D2834">
        <w:trPr>
          <w:trHeight w:val="228"/>
          <w:tblHeader/>
        </w:trPr>
        <w:tc>
          <w:tcPr>
            <w:tcW w:w="1254" w:type="pct"/>
            <w:gridSpan w:val="2"/>
            <w:shd w:val="clear" w:color="auto" w:fill="003A70"/>
            <w:vAlign w:val="center"/>
            <w:hideMark/>
          </w:tcPr>
          <w:p w14:paraId="40B735C7"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lastRenderedPageBreak/>
              <w:t>Indicador</w:t>
            </w:r>
          </w:p>
        </w:tc>
        <w:tc>
          <w:tcPr>
            <w:tcW w:w="3746" w:type="pct"/>
            <w:shd w:val="clear" w:color="auto" w:fill="003A70"/>
            <w:vAlign w:val="center"/>
            <w:hideMark/>
          </w:tcPr>
          <w:p w14:paraId="4F96FD04"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A.6.1.2</w:t>
            </w:r>
          </w:p>
        </w:tc>
      </w:tr>
      <w:tr w:rsidR="003855FD" w:rsidRPr="0073029B" w14:paraId="3669CF8E" w14:textId="77777777" w:rsidTr="004D2834">
        <w:trPr>
          <w:trHeight w:val="288"/>
          <w:tblHeader/>
        </w:trPr>
        <w:tc>
          <w:tcPr>
            <w:tcW w:w="1254" w:type="pct"/>
            <w:gridSpan w:val="2"/>
            <w:shd w:val="clear" w:color="000000" w:fill="D9D9D9"/>
            <w:vAlign w:val="center"/>
            <w:hideMark/>
          </w:tcPr>
          <w:p w14:paraId="29148764"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746" w:type="pct"/>
            <w:shd w:val="clear" w:color="000000" w:fill="D9D9D9"/>
            <w:vAlign w:val="center"/>
            <w:hideMark/>
          </w:tcPr>
          <w:p w14:paraId="139AD854"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271B2A43" w14:textId="77777777" w:rsidTr="004D2834">
        <w:trPr>
          <w:trHeight w:val="492"/>
        </w:trPr>
        <w:tc>
          <w:tcPr>
            <w:tcW w:w="1254" w:type="pct"/>
            <w:gridSpan w:val="2"/>
            <w:shd w:val="clear" w:color="auto" w:fill="003A70"/>
            <w:hideMark/>
          </w:tcPr>
          <w:p w14:paraId="144C478A"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746" w:type="pct"/>
            <w:shd w:val="clear" w:color="auto" w:fill="003A70"/>
            <w:hideMark/>
          </w:tcPr>
          <w:p w14:paraId="4D614183" w14:textId="77777777" w:rsidR="003855FD" w:rsidRPr="0073029B" w:rsidRDefault="003855FD" w:rsidP="004D2834">
            <w:pPr>
              <w:spacing w:after="0"/>
              <w:jc w:val="both"/>
              <w:rPr>
                <w:rFonts w:cs="Tahoma"/>
                <w:b/>
                <w:lang w:eastAsia="es-CR"/>
              </w:rPr>
            </w:pPr>
            <w:bookmarkStart w:id="72" w:name="_Toc202257798"/>
            <w:r w:rsidRPr="0073029B">
              <w:rPr>
                <w:rFonts w:cs="Tahoma"/>
                <w:b/>
                <w:lang w:eastAsia="es-CR"/>
              </w:rPr>
              <w:t>A.6.1.2 Promedio del porcentaje mensual de Factores Riesgos Situacionales relacionados a estructuras criminales, abordados mediante Orden de Ejecución en el marco de la Estrategia de Nodos Demandantes.</w:t>
            </w:r>
            <w:bookmarkEnd w:id="72"/>
          </w:p>
        </w:tc>
      </w:tr>
      <w:tr w:rsidR="003855FD" w:rsidRPr="0073029B" w14:paraId="21393159" w14:textId="77777777" w:rsidTr="004D2834">
        <w:trPr>
          <w:trHeight w:val="3420"/>
        </w:trPr>
        <w:tc>
          <w:tcPr>
            <w:tcW w:w="1254" w:type="pct"/>
            <w:gridSpan w:val="2"/>
            <w:shd w:val="clear" w:color="auto" w:fill="auto"/>
            <w:hideMark/>
          </w:tcPr>
          <w:p w14:paraId="583126D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746" w:type="pct"/>
            <w:shd w:val="clear" w:color="auto" w:fill="auto"/>
            <w:hideMark/>
          </w:tcPr>
          <w:p w14:paraId="70AC6337"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Este indicador se circunscribe en el marco de la implementación de la Estrategia de Focalización del Servicio Policial Preventivo por Nodos Demandantes, que tiene como propósito direccionar el servicio policial a través de la concentración de incidencia delictiva y factores de riesgos situacionales, generando respuestas policiales diferenciadas que se realizan como parte de la labor diaria policial, desde el servicio policial ordinario, ejecutado por las delegaciones policiales.</w:t>
            </w:r>
            <w:r w:rsidRPr="0073029B">
              <w:rPr>
                <w:rFonts w:eastAsia="Times New Roman" w:cs="Tahoma"/>
                <w:color w:val="000000"/>
                <w:szCs w:val="16"/>
                <w:lang w:eastAsia="es-CR"/>
              </w:rPr>
              <w:br/>
            </w:r>
            <w:r w:rsidRPr="0073029B">
              <w:rPr>
                <w:rFonts w:eastAsia="Times New Roman" w:cs="Tahoma"/>
                <w:color w:val="000000"/>
                <w:szCs w:val="16"/>
                <w:lang w:eastAsia="es-CR"/>
              </w:rPr>
              <w:br/>
              <w:t>Para lo cual se debe entender como factor de riesgo situacional: aquellas condiciones del entorno físico que pueden constituirse como factores detonantes o al menos incrementan las oportunidades para la comisión de delitos (MPGP). Los factores de riesgo situacionales pueden manifestarse de manera intermitente en sectores específicos durante ciertos horarios y días. Esta variabilidad puede deberse a una serie de factores, como patrones de actividad delictiva, fluctuaciones en la presencia de personas en el área, eventos especiales o cambios en las condiciones ambientales, esto según el análisis delictual de la fenomenología del sector.</w:t>
            </w:r>
            <w:r w:rsidRPr="0073029B">
              <w:rPr>
                <w:rFonts w:eastAsia="Times New Roman" w:cs="Tahoma"/>
                <w:color w:val="000000"/>
                <w:szCs w:val="16"/>
                <w:lang w:eastAsia="es-CR"/>
              </w:rPr>
              <w:br/>
              <w:t xml:space="preserve">Ejemplo: el robo de vehículos podría estar relacionado a un factor de riesgo como estacionamientos sin iluminación adecuada durante la noche, el asalto podría estar relacionado con factores de riesgo situacional como paradas de transporte público ubicadas en áreas aisladas y poco iluminadas, calles con obstrucciones visuales, como árboles densos, que permitan a los delincuentes esconderse y sorprender a las víctimas; cajeros automáticos ubicados en áreas poco transitadas; hurtos puede relacionarse directamente con la distracción </w:t>
            </w:r>
            <w:proofErr w:type="spellStart"/>
            <w:r w:rsidRPr="0073029B">
              <w:rPr>
                <w:rFonts w:eastAsia="Times New Roman" w:cs="Tahoma"/>
                <w:color w:val="000000"/>
                <w:szCs w:val="16"/>
                <w:lang w:eastAsia="es-CR"/>
              </w:rPr>
              <w:t>ó</w:t>
            </w:r>
            <w:proofErr w:type="spellEnd"/>
            <w:r w:rsidRPr="0073029B">
              <w:rPr>
                <w:rFonts w:eastAsia="Times New Roman" w:cs="Tahoma"/>
                <w:color w:val="000000"/>
                <w:szCs w:val="16"/>
                <w:lang w:eastAsia="es-CR"/>
              </w:rPr>
              <w:t xml:space="preserve"> desatención de las víctimas con sus pertenencias por utilización de teléfonos móviles mientras camina o por transitar con auriculares entre otros.</w:t>
            </w:r>
          </w:p>
          <w:p w14:paraId="20673602"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En el caso de los factores de riesgo situacionales relacionados a estructuras criminales se refieren a factores de riesgo que son ocasionados por estructuras criminales como, por ejemplo: zonas reconocidas como puntos de distribución de drogas, locales comerciales utilizados como fachadas para actividades delictivas como contrabando de armas y trata de personas, presencia de miembros de estructuras criminales que controlan zonas urbanas para la venta de drogas, entre otros.</w:t>
            </w:r>
            <w:r w:rsidRPr="0073029B">
              <w:rPr>
                <w:rFonts w:eastAsia="Times New Roman" w:cs="Tahoma"/>
                <w:color w:val="000000"/>
                <w:szCs w:val="16"/>
                <w:lang w:eastAsia="es-CR"/>
              </w:rPr>
              <w:br/>
              <w:t>De acuerdo con la línea tiempo establecida, la remisión de información la realiza la Dirección de Operaciones el primer día del mes a las Direcciones Regionales, una vez depurada la información esta se remite a cada Analista Policial ubicado en las Direcciones Regionales, este a su vez hace la descarga de información de las denuncias por delitos contra la propiedad y/o delitos contra la vida proveniente del Organismo de Investigación Judicial (IPH-OIJ), con el fin de identificar concentraciones de delitos para establecer “Puntos Críticos”; de acuerdo con estas dos fuentes de información el Analista Policial genera el insumo que servirá para el levantamiento de Factores de Riesgos, denominado Análisis Táctico de Puntos Críticos, el cual direccionará a las jefaturas policiales sobre los sectores donde se ubican los factores de riesgos los cuales están asociados a delitos según las denuncias interpuesta ante el OIJ, además de incidentes policiales atendida en el sector.</w:t>
            </w:r>
          </w:p>
          <w:p w14:paraId="328FBC79"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Los factores de riesgos deberán ser levantados por medio de un formulario digital por el equipo de personas que ha designado la jefatura policial según la línea de tiempo establecida; dicho levantamiento se realizará los días 5-6-7 de cada mes, posterior a esta fecha la Dirección de Operaciones remitirá al Analista Policial y Regiones Policiales capa de información con factores de riesgos levantados; estos factores de riesgos situacionales deberán ser abordados mediante Orden de Ejecución la cual se realizará de manera mensual por parte de cada una de las delegaciones policiales. Esta Orden de Ejecución deberá contener información como: a) nombre del factor de riesgo, b) tipo de factor de riesgo (situacional o relacionado a una estructura criminal), c) ubicación del factor de riesgo, d) nombre de la respuesta policial a realizar, e) resultado esperado, f) como se realizará la acción policial, g) cuando se realizará h) donde se realizará la acción policial, I) quien será el responsable, entre otros datos.</w:t>
            </w:r>
          </w:p>
          <w:p w14:paraId="4F3E4E50"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 xml:space="preserve">Una orden de ejecución es un documento operativo desarrollado por cada delegación policial o unidad policial involucrada en la que se establece una misión específica a cumplir, esto con el fin de proveer la información necesaria a los oficiales involucrados en el dispositivo de seguridad; esta orden debe ser clara, concisa y precisa, detallando las acciones operativas que se llevaran a </w:t>
            </w:r>
            <w:r w:rsidRPr="0073029B">
              <w:rPr>
                <w:rFonts w:eastAsia="Times New Roman" w:cs="Tahoma"/>
                <w:color w:val="000000"/>
                <w:szCs w:val="16"/>
                <w:lang w:eastAsia="es-CR"/>
              </w:rPr>
              <w:lastRenderedPageBreak/>
              <w:t>cabo. La Orden de Ejecución podrá realizarse sin necesidad de que exista una Orden de Operación o una Orden de Servicio.</w:t>
            </w:r>
          </w:p>
          <w:p w14:paraId="244F438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Asimismo, el abordaje de Factores de Riesgo refiere a la estrategia conjunta llevada a cabo por la Fuerza Pública, la comunidad y otras instituciones relevantes para identificar, analizar y abordar los elementos que contribuyen a la ocurrencia de situaciones de riesgo en una determinada área o comunidad.</w:t>
            </w:r>
          </w:p>
          <w:p w14:paraId="0FDE8489"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Este enfoque implica la colaboración activa entre la policía, los miembros de la comunidad y otras entidades gubernamentales o sociales para atender los factores que generan inseguridad; se trata de una labor coordinada que busca no solo prevenir la delincuencia y promover la seguridad, sino también fortalecer la confianza y el compromiso de la comunidad en la resolución de los problemas locales.</w:t>
            </w:r>
          </w:p>
          <w:p w14:paraId="668F4439"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En resumen, el abordaje de factores de riesgos situacionales desde esta perspectiva implica una acción conjunta y coordinada entre la policía, la comunidad y otras instituciones para identificar, analizar y resolver los problemas de seguridad en una determinada área.</w:t>
            </w:r>
          </w:p>
        </w:tc>
      </w:tr>
      <w:tr w:rsidR="003855FD" w:rsidRPr="0073029B" w14:paraId="2687C974" w14:textId="77777777" w:rsidTr="004D2834">
        <w:trPr>
          <w:trHeight w:val="838"/>
        </w:trPr>
        <w:tc>
          <w:tcPr>
            <w:tcW w:w="1254" w:type="pct"/>
            <w:gridSpan w:val="2"/>
            <w:shd w:val="clear" w:color="auto" w:fill="auto"/>
            <w:hideMark/>
          </w:tcPr>
          <w:p w14:paraId="2A26F9B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 xml:space="preserve">Fórmula de cálculo </w:t>
            </w:r>
          </w:p>
        </w:tc>
        <w:tc>
          <w:tcPr>
            <w:tcW w:w="3746" w:type="pct"/>
            <w:shd w:val="clear" w:color="auto" w:fill="auto"/>
            <w:hideMark/>
          </w:tcPr>
          <w:p w14:paraId="3447189B"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noProof/>
                <w:color w:val="000000"/>
                <w:szCs w:val="16"/>
                <w:lang w:eastAsia="es-CR"/>
              </w:rPr>
              <w:drawing>
                <wp:anchor distT="0" distB="0" distL="114300" distR="114300" simplePos="0" relativeHeight="251658246" behindDoc="0" locked="0" layoutInCell="1" allowOverlap="1" wp14:anchorId="3A15E829" wp14:editId="757846CE">
                  <wp:simplePos x="0" y="0"/>
                  <wp:positionH relativeFrom="column">
                    <wp:posOffset>472440</wp:posOffset>
                  </wp:positionH>
                  <wp:positionV relativeFrom="paragraph">
                    <wp:posOffset>121920</wp:posOffset>
                  </wp:positionV>
                  <wp:extent cx="2407920" cy="327660"/>
                  <wp:effectExtent l="0" t="0" r="0" b="0"/>
                  <wp:wrapNone/>
                  <wp:docPr id="11" name="Imagen 11">
                    <a:extLst xmlns:a="http://schemas.openxmlformats.org/drawingml/2006/main">
                      <a:ext uri="{FF2B5EF4-FFF2-40B4-BE49-F238E27FC236}">
                        <a16:creationId xmlns:a16="http://schemas.microsoft.com/office/drawing/2014/main" id="{E78CD479-524E-4DC8-8C3D-A69053C28FE7}"/>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78CD479-524E-4DC8-8C3D-A69053C28FE7}"/>
                              </a:ext>
                            </a:extLst>
                          </pic:cNvPr>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9505" cy="316230"/>
                          </a:xfrm>
                          <a:prstGeom prst="rect">
                            <a:avLst/>
                          </a:prstGeom>
                          <a:noFill/>
                        </pic:spPr>
                      </pic:pic>
                    </a:graphicData>
                  </a:graphic>
                  <wp14:sizeRelH relativeFrom="page">
                    <wp14:pctWidth>0</wp14:pctWidth>
                  </wp14:sizeRelH>
                  <wp14:sizeRelV relativeFrom="page">
                    <wp14:pctHeight>0</wp14:pctHeight>
                  </wp14:sizeRelV>
                </wp:anchor>
              </w:drawing>
            </w:r>
          </w:p>
        </w:tc>
      </w:tr>
      <w:tr w:rsidR="003855FD" w:rsidRPr="0073029B" w14:paraId="4DC7D28C" w14:textId="77777777" w:rsidTr="004D2834">
        <w:trPr>
          <w:trHeight w:val="720"/>
        </w:trPr>
        <w:tc>
          <w:tcPr>
            <w:tcW w:w="1254" w:type="pct"/>
            <w:gridSpan w:val="2"/>
            <w:shd w:val="clear" w:color="auto" w:fill="auto"/>
            <w:hideMark/>
          </w:tcPr>
          <w:p w14:paraId="4248242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746" w:type="pct"/>
            <w:shd w:val="clear" w:color="auto" w:fill="auto"/>
            <w:hideMark/>
          </w:tcPr>
          <w:p w14:paraId="649F00A5" w14:textId="77777777" w:rsidR="003855FD" w:rsidRPr="0073029B" w:rsidRDefault="003855FD" w:rsidP="004D2834">
            <w:pPr>
              <w:spacing w:after="0" w:line="240" w:lineRule="auto"/>
              <w:jc w:val="both"/>
              <w:rPr>
                <w:rFonts w:eastAsia="Times New Roman" w:cs="Tahoma"/>
                <w:color w:val="000000"/>
                <w:szCs w:val="16"/>
                <w:lang w:eastAsia="es-CR"/>
              </w:rPr>
            </w:pPr>
            <w:proofErr w:type="gramStart"/>
            <w:r w:rsidRPr="0073029B">
              <w:rPr>
                <w:rFonts w:eastAsia="Times New Roman" w:cs="Tahoma"/>
                <w:color w:val="000000"/>
                <w:szCs w:val="16"/>
                <w:lang w:eastAsia="es-CR"/>
              </w:rPr>
              <w:t>Total</w:t>
            </w:r>
            <w:proofErr w:type="gramEnd"/>
            <w:r w:rsidRPr="0073029B">
              <w:rPr>
                <w:rFonts w:eastAsia="Times New Roman" w:cs="Tahoma"/>
                <w:color w:val="000000"/>
                <w:szCs w:val="16"/>
                <w:lang w:eastAsia="es-CR"/>
              </w:rPr>
              <w:t xml:space="preserve"> de Factores de Riesgo abordados: Es la suma de los factores de riesgo abordados mediante órdenes de ejecución de manera mensual.</w:t>
            </w:r>
          </w:p>
          <w:p w14:paraId="42E8A10B"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r>
            <w:proofErr w:type="gramStart"/>
            <w:r w:rsidRPr="0073029B">
              <w:rPr>
                <w:rFonts w:eastAsia="Times New Roman" w:cs="Tahoma"/>
                <w:color w:val="000000"/>
                <w:szCs w:val="16"/>
                <w:lang w:eastAsia="es-CR"/>
              </w:rPr>
              <w:t>Total</w:t>
            </w:r>
            <w:proofErr w:type="gramEnd"/>
            <w:r w:rsidRPr="0073029B">
              <w:rPr>
                <w:rFonts w:eastAsia="Times New Roman" w:cs="Tahoma"/>
                <w:color w:val="000000"/>
                <w:szCs w:val="16"/>
                <w:lang w:eastAsia="es-CR"/>
              </w:rPr>
              <w:t xml:space="preserve"> de factores de Riesgo identificados: Es el número total de factores de riesgo situacionales y/o relacionados a estructuras criminales identificados en los análisis tácticos de puntos críticos</w:t>
            </w:r>
          </w:p>
          <w:p w14:paraId="7176FA6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de manera mensual.</w:t>
            </w:r>
          </w:p>
          <w:p w14:paraId="7C72738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n: número de meses calculados</w:t>
            </w:r>
          </w:p>
        </w:tc>
      </w:tr>
      <w:tr w:rsidR="003855FD" w:rsidRPr="0073029B" w14:paraId="61BBDC69" w14:textId="77777777" w:rsidTr="004D2834">
        <w:trPr>
          <w:trHeight w:val="276"/>
        </w:trPr>
        <w:tc>
          <w:tcPr>
            <w:tcW w:w="1254" w:type="pct"/>
            <w:gridSpan w:val="2"/>
            <w:shd w:val="clear" w:color="auto" w:fill="auto"/>
            <w:hideMark/>
          </w:tcPr>
          <w:p w14:paraId="05E5151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746" w:type="pct"/>
            <w:shd w:val="clear" w:color="auto" w:fill="auto"/>
            <w:hideMark/>
          </w:tcPr>
          <w:p w14:paraId="40679B4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Porcentaje</w:t>
            </w:r>
          </w:p>
        </w:tc>
      </w:tr>
      <w:tr w:rsidR="003855FD" w:rsidRPr="0073029B" w14:paraId="328D60C5" w14:textId="77777777" w:rsidTr="004D2834">
        <w:trPr>
          <w:trHeight w:val="450"/>
        </w:trPr>
        <w:tc>
          <w:tcPr>
            <w:tcW w:w="1254" w:type="pct"/>
            <w:gridSpan w:val="2"/>
            <w:vMerge w:val="restart"/>
            <w:shd w:val="clear" w:color="auto" w:fill="auto"/>
            <w:hideMark/>
          </w:tcPr>
          <w:p w14:paraId="7F03932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746" w:type="pct"/>
            <w:vMerge w:val="restart"/>
            <w:shd w:val="clear" w:color="auto" w:fill="auto"/>
            <w:hideMark/>
          </w:tcPr>
          <w:p w14:paraId="4730B49A"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Durante el periodo en estudio, la Fuerza Pública abordó un XX % de los factores de riesgo situacionales identificados en los Análisis Tácticos de Puntos Críticos, como parte de la Estrategia de Nodos Demandantes. Este porcentaje representa la proporción de factores riesgo situacionales que fueron atendidos mediante Orden de Ejecución en relación con el total de factores de riesgos situacionales identificados.</w:t>
            </w:r>
          </w:p>
        </w:tc>
      </w:tr>
      <w:tr w:rsidR="003855FD" w:rsidRPr="0073029B" w14:paraId="231E8528" w14:textId="77777777" w:rsidTr="004D2834">
        <w:trPr>
          <w:trHeight w:val="450"/>
        </w:trPr>
        <w:tc>
          <w:tcPr>
            <w:tcW w:w="1254" w:type="pct"/>
            <w:gridSpan w:val="2"/>
            <w:vMerge/>
            <w:vAlign w:val="center"/>
            <w:hideMark/>
          </w:tcPr>
          <w:p w14:paraId="74C643D3" w14:textId="77777777" w:rsidR="003855FD" w:rsidRPr="0073029B" w:rsidRDefault="003855FD" w:rsidP="004D2834">
            <w:pPr>
              <w:spacing w:after="0" w:line="240" w:lineRule="auto"/>
              <w:rPr>
                <w:rFonts w:eastAsia="Times New Roman" w:cs="Tahoma"/>
                <w:b/>
                <w:bCs/>
                <w:color w:val="000000"/>
                <w:szCs w:val="16"/>
                <w:lang w:eastAsia="es-CR"/>
              </w:rPr>
            </w:pPr>
          </w:p>
        </w:tc>
        <w:tc>
          <w:tcPr>
            <w:tcW w:w="3746" w:type="pct"/>
            <w:vMerge/>
            <w:vAlign w:val="center"/>
            <w:hideMark/>
          </w:tcPr>
          <w:p w14:paraId="7524E2D2"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31492DDC" w14:textId="77777777" w:rsidTr="004D2834">
        <w:trPr>
          <w:trHeight w:val="450"/>
        </w:trPr>
        <w:tc>
          <w:tcPr>
            <w:tcW w:w="1254" w:type="pct"/>
            <w:gridSpan w:val="2"/>
            <w:vMerge/>
            <w:vAlign w:val="center"/>
            <w:hideMark/>
          </w:tcPr>
          <w:p w14:paraId="64E7148A" w14:textId="77777777" w:rsidR="003855FD" w:rsidRPr="0073029B" w:rsidRDefault="003855FD" w:rsidP="004D2834">
            <w:pPr>
              <w:spacing w:after="0" w:line="240" w:lineRule="auto"/>
              <w:rPr>
                <w:rFonts w:eastAsia="Times New Roman" w:cs="Tahoma"/>
                <w:b/>
                <w:bCs/>
                <w:color w:val="000000"/>
                <w:szCs w:val="16"/>
                <w:lang w:eastAsia="es-CR"/>
              </w:rPr>
            </w:pPr>
          </w:p>
        </w:tc>
        <w:tc>
          <w:tcPr>
            <w:tcW w:w="3746" w:type="pct"/>
            <w:vMerge/>
            <w:vAlign w:val="center"/>
            <w:hideMark/>
          </w:tcPr>
          <w:p w14:paraId="100BD724" w14:textId="77777777" w:rsidR="003855FD" w:rsidRPr="0073029B" w:rsidRDefault="003855FD" w:rsidP="004D2834">
            <w:pPr>
              <w:spacing w:after="0" w:line="240" w:lineRule="auto"/>
              <w:rPr>
                <w:rFonts w:eastAsia="Times New Roman" w:cs="Tahoma"/>
                <w:color w:val="000000"/>
                <w:szCs w:val="16"/>
                <w:lang w:eastAsia="es-CR"/>
              </w:rPr>
            </w:pPr>
          </w:p>
        </w:tc>
      </w:tr>
      <w:tr w:rsidR="003855FD" w:rsidRPr="0073029B" w14:paraId="61D59795" w14:textId="77777777" w:rsidTr="004D2834">
        <w:trPr>
          <w:trHeight w:val="1080"/>
        </w:trPr>
        <w:tc>
          <w:tcPr>
            <w:tcW w:w="713" w:type="pct"/>
            <w:vMerge w:val="restart"/>
            <w:shd w:val="clear" w:color="auto" w:fill="auto"/>
            <w:hideMark/>
          </w:tcPr>
          <w:p w14:paraId="5F712A1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541" w:type="pct"/>
            <w:shd w:val="clear" w:color="auto" w:fill="auto"/>
            <w:hideMark/>
          </w:tcPr>
          <w:p w14:paraId="13686DA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746" w:type="pct"/>
            <w:shd w:val="clear" w:color="auto" w:fill="auto"/>
            <w:hideMark/>
          </w:tcPr>
          <w:p w14:paraId="28445DF7"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Nacional.</w:t>
            </w:r>
            <w:r w:rsidRPr="0073029B">
              <w:rPr>
                <w:rFonts w:eastAsia="Times New Roman" w:cs="Tahoma"/>
                <w:color w:val="000000"/>
                <w:szCs w:val="16"/>
                <w:lang w:eastAsia="es-CR"/>
              </w:rPr>
              <w:br/>
              <w:t>La división geográfica de la Dirección General de la Fuerza Pública se basa en criterios operativos por lo que esta división difiere de la división política administrativa, e incluso de la división de regiones de planificación. Por ello la división geográfica se establece según las siguientes regiones operativas: Dirección Regional San José, Dirección Regional Alajuela, Dirección Regional Cartago, Dirección Regional Heredia, Dirección Regional Chorotega, Dirección Regional Pacífico Central, Dirección Regional Brunca, Dirección Regional Huetar Norte, Dirección Regional Huetar Atlántica, Dirección Regional Brunca Sur, Dirección Regional Chorotega Norte, Dirección Regional Caribe.</w:t>
            </w:r>
          </w:p>
        </w:tc>
      </w:tr>
      <w:tr w:rsidR="003855FD" w:rsidRPr="0073029B" w14:paraId="135DC819" w14:textId="77777777" w:rsidTr="004D2834">
        <w:trPr>
          <w:trHeight w:val="461"/>
        </w:trPr>
        <w:tc>
          <w:tcPr>
            <w:tcW w:w="713" w:type="pct"/>
            <w:vMerge/>
            <w:vAlign w:val="center"/>
            <w:hideMark/>
          </w:tcPr>
          <w:p w14:paraId="5A251A93" w14:textId="77777777" w:rsidR="003855FD" w:rsidRPr="0073029B" w:rsidRDefault="003855FD" w:rsidP="004D2834">
            <w:pPr>
              <w:spacing w:after="0" w:line="240" w:lineRule="auto"/>
              <w:rPr>
                <w:rFonts w:eastAsia="Times New Roman" w:cs="Tahoma"/>
                <w:b/>
                <w:bCs/>
                <w:color w:val="000000"/>
                <w:szCs w:val="16"/>
                <w:lang w:eastAsia="es-CR"/>
              </w:rPr>
            </w:pPr>
          </w:p>
        </w:tc>
        <w:tc>
          <w:tcPr>
            <w:tcW w:w="541" w:type="pct"/>
            <w:shd w:val="clear" w:color="auto" w:fill="auto"/>
            <w:hideMark/>
          </w:tcPr>
          <w:p w14:paraId="5C79655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746" w:type="pct"/>
            <w:shd w:val="clear" w:color="auto" w:fill="auto"/>
            <w:hideMark/>
          </w:tcPr>
          <w:p w14:paraId="3832E3E6"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Se toman en consideración temas relacionados con factores de riesgo situacional o relacionado a estructuras criminales que se abordan mediante Orden de Ejecución.</w:t>
            </w:r>
          </w:p>
        </w:tc>
      </w:tr>
      <w:tr w:rsidR="003855FD" w:rsidRPr="0073029B" w14:paraId="559ECCC3" w14:textId="77777777" w:rsidTr="004D2834">
        <w:trPr>
          <w:trHeight w:val="288"/>
        </w:trPr>
        <w:tc>
          <w:tcPr>
            <w:tcW w:w="1254" w:type="pct"/>
            <w:gridSpan w:val="2"/>
            <w:shd w:val="clear" w:color="auto" w:fill="auto"/>
            <w:hideMark/>
          </w:tcPr>
          <w:p w14:paraId="0FD21CE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746" w:type="pct"/>
            <w:shd w:val="clear" w:color="auto" w:fill="auto"/>
            <w:hideMark/>
          </w:tcPr>
          <w:p w14:paraId="0AAACD9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ND</w:t>
            </w:r>
          </w:p>
        </w:tc>
      </w:tr>
      <w:tr w:rsidR="003855FD" w:rsidRPr="0073029B" w14:paraId="6EF3A97D" w14:textId="77777777" w:rsidTr="004D2834">
        <w:trPr>
          <w:trHeight w:val="1212"/>
        </w:trPr>
        <w:tc>
          <w:tcPr>
            <w:tcW w:w="1254" w:type="pct"/>
            <w:gridSpan w:val="2"/>
            <w:shd w:val="clear" w:color="auto" w:fill="auto"/>
            <w:hideMark/>
          </w:tcPr>
          <w:p w14:paraId="48222EA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746" w:type="pct"/>
            <w:shd w:val="clear" w:color="auto" w:fill="auto"/>
            <w:hideMark/>
          </w:tcPr>
          <w:p w14:paraId="62659AE2"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60%</w:t>
            </w:r>
            <w:r w:rsidRPr="0073029B">
              <w:rPr>
                <w:rFonts w:eastAsia="Times New Roman" w:cs="Tahoma"/>
                <w:color w:val="000000"/>
                <w:szCs w:val="16"/>
                <w:lang w:eastAsia="es-CR"/>
              </w:rPr>
              <w:br/>
            </w:r>
            <w:r w:rsidRPr="0073029B">
              <w:rPr>
                <w:rFonts w:eastAsia="Times New Roman" w:cs="Tahoma"/>
                <w:color w:val="000000"/>
                <w:szCs w:val="16"/>
                <w:lang w:eastAsia="es-CR"/>
              </w:rPr>
              <w:br/>
              <w:t>2023: 25%</w:t>
            </w:r>
            <w:r w:rsidRPr="0073029B">
              <w:rPr>
                <w:rFonts w:eastAsia="Times New Roman" w:cs="Tahoma"/>
                <w:color w:val="000000"/>
                <w:szCs w:val="16"/>
                <w:lang w:eastAsia="es-CR"/>
              </w:rPr>
              <w:br/>
              <w:t>2024: 40%</w:t>
            </w:r>
            <w:r w:rsidRPr="0073029B">
              <w:rPr>
                <w:rFonts w:eastAsia="Times New Roman" w:cs="Tahoma"/>
                <w:color w:val="000000"/>
                <w:szCs w:val="16"/>
                <w:lang w:eastAsia="es-CR"/>
              </w:rPr>
              <w:br/>
              <w:t>2025: 55%</w:t>
            </w:r>
            <w:r w:rsidRPr="0073029B">
              <w:rPr>
                <w:rFonts w:eastAsia="Times New Roman" w:cs="Tahoma"/>
                <w:color w:val="000000"/>
                <w:szCs w:val="16"/>
                <w:lang w:eastAsia="es-CR"/>
              </w:rPr>
              <w:br/>
              <w:t>2026: 60%</w:t>
            </w:r>
          </w:p>
        </w:tc>
      </w:tr>
      <w:tr w:rsidR="003855FD" w:rsidRPr="0073029B" w14:paraId="278CF418" w14:textId="77777777" w:rsidTr="004D2834">
        <w:trPr>
          <w:trHeight w:val="420"/>
        </w:trPr>
        <w:tc>
          <w:tcPr>
            <w:tcW w:w="1254" w:type="pct"/>
            <w:gridSpan w:val="2"/>
            <w:shd w:val="clear" w:color="auto" w:fill="auto"/>
            <w:hideMark/>
          </w:tcPr>
          <w:p w14:paraId="14BA150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 seguimiento</w:t>
            </w:r>
          </w:p>
        </w:tc>
        <w:tc>
          <w:tcPr>
            <w:tcW w:w="3746" w:type="pct"/>
            <w:shd w:val="clear" w:color="auto" w:fill="auto"/>
            <w:hideMark/>
          </w:tcPr>
          <w:p w14:paraId="41C46CC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Anual</w:t>
            </w:r>
          </w:p>
        </w:tc>
      </w:tr>
      <w:tr w:rsidR="003855FD" w:rsidRPr="0073029B" w14:paraId="6F6AEFDA" w14:textId="77777777" w:rsidTr="004D2834">
        <w:trPr>
          <w:trHeight w:val="492"/>
        </w:trPr>
        <w:tc>
          <w:tcPr>
            <w:tcW w:w="1254" w:type="pct"/>
            <w:gridSpan w:val="2"/>
            <w:shd w:val="clear" w:color="auto" w:fill="auto"/>
            <w:hideMark/>
          </w:tcPr>
          <w:p w14:paraId="657CF73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Fuente de información</w:t>
            </w:r>
          </w:p>
        </w:tc>
        <w:tc>
          <w:tcPr>
            <w:tcW w:w="3746" w:type="pct"/>
            <w:shd w:val="clear" w:color="auto" w:fill="auto"/>
            <w:hideMark/>
          </w:tcPr>
          <w:p w14:paraId="0625B3A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Ministerio de Seguridad Pública. Dirección General de la Fuerza Pública, Dirección de Operaciones. Matriz en formato Excel de la información recopilada a nivel nacional y carpeta digital de Ordenes de Ejecución para el abordaje de factores de riesgos.</w:t>
            </w:r>
          </w:p>
        </w:tc>
      </w:tr>
      <w:tr w:rsidR="003855FD" w:rsidRPr="0073029B" w14:paraId="1BF95C51" w14:textId="77777777" w:rsidTr="004D2834">
        <w:trPr>
          <w:trHeight w:val="720"/>
        </w:trPr>
        <w:tc>
          <w:tcPr>
            <w:tcW w:w="1254" w:type="pct"/>
            <w:gridSpan w:val="2"/>
            <w:shd w:val="clear" w:color="auto" w:fill="auto"/>
            <w:hideMark/>
          </w:tcPr>
          <w:p w14:paraId="74806FA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746" w:type="pct"/>
            <w:shd w:val="clear" w:color="auto" w:fill="auto"/>
            <w:hideMark/>
          </w:tcPr>
          <w:p w14:paraId="7E479A5A"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2C9ACDB3" w14:textId="77777777" w:rsidTr="004D2834">
        <w:trPr>
          <w:trHeight w:val="384"/>
        </w:trPr>
        <w:tc>
          <w:tcPr>
            <w:tcW w:w="1254" w:type="pct"/>
            <w:gridSpan w:val="2"/>
            <w:shd w:val="clear" w:color="auto" w:fill="auto"/>
            <w:hideMark/>
          </w:tcPr>
          <w:p w14:paraId="48575F6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746" w:type="pct"/>
            <w:shd w:val="clear" w:color="auto" w:fill="auto"/>
            <w:hideMark/>
          </w:tcPr>
          <w:p w14:paraId="5AF2B872"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Registro Administrativo de factores de riesgos abordados mediante Orden de Ejecución en el marco de la Estrategia de Nodos Demandantes.</w:t>
            </w:r>
          </w:p>
        </w:tc>
      </w:tr>
      <w:tr w:rsidR="003855FD" w:rsidRPr="0073029B" w14:paraId="0313D950" w14:textId="77777777" w:rsidTr="004D2834">
        <w:trPr>
          <w:trHeight w:val="432"/>
        </w:trPr>
        <w:tc>
          <w:tcPr>
            <w:tcW w:w="1254" w:type="pct"/>
            <w:gridSpan w:val="2"/>
            <w:shd w:val="clear" w:color="auto" w:fill="auto"/>
            <w:hideMark/>
          </w:tcPr>
          <w:p w14:paraId="49D20F2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w:t>
            </w:r>
            <w:r w:rsidRPr="0073029B">
              <w:rPr>
                <w:rFonts w:eastAsia="Times New Roman" w:cs="Tahoma"/>
                <w:b/>
                <w:bCs/>
                <w:color w:val="000000"/>
                <w:szCs w:val="16"/>
                <w:lang w:eastAsia="es-CR"/>
              </w:rPr>
              <w:br/>
              <w:t>Sostenible (ODS) vinculado</w:t>
            </w:r>
          </w:p>
        </w:tc>
        <w:tc>
          <w:tcPr>
            <w:tcW w:w="3746" w:type="pct"/>
            <w:shd w:val="clear" w:color="auto" w:fill="auto"/>
            <w:hideMark/>
          </w:tcPr>
          <w:p w14:paraId="1A9C8E82"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16: 16.1.3, 16.2.2, 16.3.1, 16.4.2</w:t>
            </w:r>
          </w:p>
        </w:tc>
      </w:tr>
      <w:tr w:rsidR="003855FD" w:rsidRPr="0073029B" w14:paraId="7292F1E0" w14:textId="77777777" w:rsidTr="004D2834">
        <w:trPr>
          <w:trHeight w:val="432"/>
        </w:trPr>
        <w:tc>
          <w:tcPr>
            <w:tcW w:w="1254" w:type="pct"/>
            <w:gridSpan w:val="2"/>
            <w:shd w:val="clear" w:color="auto" w:fill="auto"/>
            <w:hideMark/>
          </w:tcPr>
          <w:p w14:paraId="2B847B8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746" w:type="pct"/>
            <w:shd w:val="clear" w:color="auto" w:fill="auto"/>
            <w:hideMark/>
          </w:tcPr>
          <w:p w14:paraId="1482A224"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55E8F66B" w14:textId="77777777" w:rsidTr="004D2834">
        <w:trPr>
          <w:trHeight w:val="432"/>
        </w:trPr>
        <w:tc>
          <w:tcPr>
            <w:tcW w:w="1254" w:type="pct"/>
            <w:gridSpan w:val="2"/>
            <w:shd w:val="clear" w:color="auto" w:fill="auto"/>
            <w:hideMark/>
          </w:tcPr>
          <w:p w14:paraId="0A56246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w:t>
            </w:r>
            <w:r w:rsidRPr="0073029B">
              <w:rPr>
                <w:rFonts w:eastAsia="Times New Roman" w:cs="Tahoma"/>
                <w:b/>
                <w:bCs/>
                <w:color w:val="000000"/>
                <w:szCs w:val="16"/>
                <w:lang w:eastAsia="es-CR"/>
              </w:rPr>
              <w:br/>
              <w:t>de Montevideo</w:t>
            </w:r>
          </w:p>
        </w:tc>
        <w:tc>
          <w:tcPr>
            <w:tcW w:w="3746" w:type="pct"/>
            <w:shd w:val="clear" w:color="auto" w:fill="auto"/>
            <w:hideMark/>
          </w:tcPr>
          <w:p w14:paraId="25C01B6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 1 y 4</w:t>
            </w:r>
          </w:p>
        </w:tc>
      </w:tr>
      <w:tr w:rsidR="003855FD" w:rsidRPr="0073029B" w14:paraId="1FEC2E18" w14:textId="77777777" w:rsidTr="004D2834">
        <w:trPr>
          <w:trHeight w:val="528"/>
        </w:trPr>
        <w:tc>
          <w:tcPr>
            <w:tcW w:w="1254" w:type="pct"/>
            <w:gridSpan w:val="2"/>
            <w:shd w:val="clear" w:color="auto" w:fill="auto"/>
            <w:hideMark/>
          </w:tcPr>
          <w:p w14:paraId="65424E3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w:t>
            </w:r>
            <w:r w:rsidRPr="0073029B">
              <w:rPr>
                <w:rFonts w:eastAsia="Times New Roman" w:cs="Tahoma"/>
                <w:b/>
                <w:bCs/>
                <w:color w:val="000000"/>
                <w:szCs w:val="16"/>
                <w:lang w:eastAsia="es-CR"/>
              </w:rPr>
              <w:br/>
              <w:t>Desarrollo</w:t>
            </w:r>
          </w:p>
        </w:tc>
        <w:tc>
          <w:tcPr>
            <w:tcW w:w="3746" w:type="pct"/>
            <w:shd w:val="clear" w:color="auto" w:fill="auto"/>
            <w:hideMark/>
          </w:tcPr>
          <w:p w14:paraId="3BBEC08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No existe vinculación directa con objetivos de los PRD.</w:t>
            </w:r>
          </w:p>
        </w:tc>
      </w:tr>
      <w:tr w:rsidR="003855FD" w:rsidRPr="0073029B" w14:paraId="625D3C7E" w14:textId="77777777" w:rsidTr="004D2834">
        <w:trPr>
          <w:trHeight w:val="2016"/>
        </w:trPr>
        <w:tc>
          <w:tcPr>
            <w:tcW w:w="1254" w:type="pct"/>
            <w:gridSpan w:val="2"/>
            <w:shd w:val="clear" w:color="auto" w:fill="auto"/>
            <w:hideMark/>
          </w:tcPr>
          <w:p w14:paraId="42B113A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746" w:type="pct"/>
            <w:shd w:val="clear" w:color="auto" w:fill="auto"/>
            <w:hideMark/>
          </w:tcPr>
          <w:p w14:paraId="1E4BCBB5"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La Dirección General de Fuerza Pública inició un proceso de modernización del modelo de gestión policial; los factores de riesgos situacionales y/o relacionados a estructuras criminales, constituye un elemento determinante en la elaboración de los Análisis Integral de Nodos Demandantes, que corresponde a un análisis de variables que convergen en un sector geográfico determinado; un nodo demandante es un sector específico donde coinciden los puntos críticos y las zonas de concentración de factores de riesgos situacionales.</w:t>
            </w:r>
          </w:p>
          <w:p w14:paraId="5CD290A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En este caso es sumamente importante que el personal policial que realiza el levantamiento de los factores de riesgos tenga claridad del concepto y su visualización de que es un factor de riesgo situacional: que son aquellas condiciones del entorno físico que pueden constituirse como factores detonantes o al menos incrementan las oportunidades para la comisión de delitos, por lo que los factores de riesgos situacionales están relacionados directamente con el delito; es por ello que el Análisis Táctico de Puntos Critico, establece variables predominantes tales como: categoría de delito, modus operandi, franja horaria, día de la semana, sectores donde se ubica los puntos críticos; es esencial que este análisis se utilice correctamente para la identificación de los factores de riesgo situación y/o relacionados a estructuras criminales, lo que permitirá desde el accionar de las delegaciones policiales diseñar respuestas policiales diferenciadas en donde se realice un aborde operativamente focalizado a los factores de riesgos identificados.</w:t>
            </w:r>
          </w:p>
          <w:p w14:paraId="150455D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Se propone implementar este indicador, a partir de su aprobación, lo cual podría corresponder al mes de julio del 2024.</w:t>
            </w:r>
          </w:p>
        </w:tc>
      </w:tr>
      <w:tr w:rsidR="003855FD" w:rsidRPr="0073029B" w14:paraId="5E672C97" w14:textId="77777777" w:rsidTr="004D2834">
        <w:trPr>
          <w:trHeight w:val="600"/>
        </w:trPr>
        <w:tc>
          <w:tcPr>
            <w:tcW w:w="1254" w:type="pct"/>
            <w:gridSpan w:val="2"/>
            <w:shd w:val="clear" w:color="auto" w:fill="003A70"/>
            <w:hideMark/>
          </w:tcPr>
          <w:p w14:paraId="2DE69A7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746" w:type="pct"/>
            <w:shd w:val="clear" w:color="auto" w:fill="auto"/>
            <w:hideMark/>
          </w:tcPr>
          <w:p w14:paraId="02C1C31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 xml:space="preserve">2024: </w:t>
            </w:r>
            <w:r w:rsidRPr="0073029B">
              <w:rPr>
                <w:rFonts w:eastAsia="Times New Roman" w:cs="Tahoma"/>
                <w:color w:val="000000"/>
                <w:szCs w:val="16"/>
                <w:lang w:eastAsia="es-CR"/>
              </w:rPr>
              <w:t>Se modificó el objetivo de la intervención, el nombre del indicador, la definición conceptual, la fórmula de cálculo, los componentes involucrados en la fórmula del cálculo, la interpretación, la desagregación geográfica y temática, la meta, la periodicidad del PNDIP para el seguimiento, la fuente de información, el tipo de operación estadística, la vinculación con el Plan Regional de Desarrollo y los comentarios generales. Oficio de aprobación MIDEPLAN-DVM-OF-0063-2024 (rige a partir de 2024).</w:t>
            </w:r>
          </w:p>
        </w:tc>
      </w:tr>
    </w:tbl>
    <w:p w14:paraId="37267CC4" w14:textId="77777777" w:rsidR="003855FD" w:rsidRPr="0073029B" w:rsidRDefault="003855FD" w:rsidP="003855FD">
      <w:pPr>
        <w:pStyle w:val="Default"/>
        <w:rPr>
          <w:rFonts w:ascii="Tahoma" w:eastAsia="Arial Narrow" w:hAnsi="Tahoma" w:cs="Tahoma"/>
          <w:sz w:val="16"/>
          <w:szCs w:val="16"/>
        </w:rPr>
      </w:pPr>
      <w:r w:rsidRPr="0073029B">
        <w:rPr>
          <w:rFonts w:ascii="Tahoma" w:eastAsia="Arial Narrow" w:hAnsi="Tahoma" w:cs="Tahoma"/>
          <w:sz w:val="16"/>
          <w:szCs w:val="16"/>
        </w:rPr>
        <w:t xml:space="preserve">Fuente: </w:t>
      </w:r>
      <w:r w:rsidRPr="0073029B">
        <w:rPr>
          <w:rFonts w:ascii="Tahoma" w:eastAsia="Times New Roman" w:hAnsi="Tahoma" w:cs="Tahoma"/>
          <w:sz w:val="16"/>
          <w:szCs w:val="16"/>
          <w:lang w:eastAsia="es-CR"/>
        </w:rPr>
        <w:t xml:space="preserve">Dirección General de la Fuerza Pública, Ministerio de Seguridad Pública. </w:t>
      </w:r>
    </w:p>
    <w:p w14:paraId="5A8D48DD" w14:textId="77777777" w:rsidR="003855FD" w:rsidRPr="0073029B" w:rsidRDefault="003855FD" w:rsidP="003855FD">
      <w:pPr>
        <w:pStyle w:val="Default"/>
        <w:rPr>
          <w:rFonts w:ascii="Tahoma" w:eastAsia="Arial Narrow" w:hAnsi="Tahoma" w:cs="Tahoma"/>
          <w:sz w:val="16"/>
          <w:szCs w:val="16"/>
        </w:rPr>
      </w:pPr>
    </w:p>
    <w:p w14:paraId="79312212" w14:textId="77777777" w:rsidR="003855FD" w:rsidRPr="0073029B" w:rsidRDefault="003855FD" w:rsidP="003855FD">
      <w:pPr>
        <w:pStyle w:val="Default"/>
        <w:rPr>
          <w:rFonts w:ascii="Tahoma" w:eastAsia="Arial Narrow" w:hAnsi="Tahoma" w:cs="Tahoma"/>
          <w:sz w:val="16"/>
          <w:szCs w:val="16"/>
        </w:rPr>
      </w:pPr>
    </w:p>
    <w:p w14:paraId="6CF4F9EF" w14:textId="77777777" w:rsidR="003855FD" w:rsidRPr="0073029B" w:rsidRDefault="003855FD" w:rsidP="003855FD">
      <w:pPr>
        <w:pStyle w:val="Default"/>
        <w:rPr>
          <w:rFonts w:ascii="Tahoma" w:eastAsia="Arial Narrow" w:hAnsi="Tahoma" w:cs="Tahoma"/>
          <w:sz w:val="16"/>
          <w:szCs w:val="16"/>
        </w:rPr>
      </w:pPr>
    </w:p>
    <w:p w14:paraId="0D252729" w14:textId="77777777" w:rsidR="003855FD" w:rsidRPr="0073029B" w:rsidRDefault="003855FD" w:rsidP="003855FD">
      <w:pPr>
        <w:pStyle w:val="Default"/>
        <w:rPr>
          <w:rFonts w:ascii="Tahoma" w:eastAsia="Arial Narrow" w:hAnsi="Tahoma" w:cs="Tahoma"/>
          <w:sz w:val="16"/>
          <w:szCs w:val="16"/>
        </w:rPr>
      </w:pPr>
    </w:p>
    <w:p w14:paraId="655C0192" w14:textId="77777777" w:rsidR="003855FD" w:rsidRPr="0073029B" w:rsidRDefault="003855FD" w:rsidP="003855FD">
      <w:pPr>
        <w:pStyle w:val="Default"/>
        <w:rPr>
          <w:rFonts w:ascii="Tahoma" w:eastAsia="Arial Narrow" w:hAnsi="Tahoma" w:cs="Tahoma"/>
          <w:sz w:val="16"/>
          <w:szCs w:val="16"/>
        </w:rPr>
      </w:pPr>
    </w:p>
    <w:p w14:paraId="15B5284A" w14:textId="77777777" w:rsidR="003855FD" w:rsidRPr="0073029B" w:rsidRDefault="003855FD" w:rsidP="003855FD">
      <w:pPr>
        <w:pStyle w:val="Default"/>
        <w:rPr>
          <w:rFonts w:ascii="Tahoma" w:eastAsia="Arial Narrow" w:hAnsi="Tahoma" w:cs="Tahoma"/>
          <w:sz w:val="16"/>
          <w:szCs w:val="16"/>
        </w:rPr>
      </w:pPr>
    </w:p>
    <w:p w14:paraId="61D76816" w14:textId="77777777" w:rsidR="003855FD" w:rsidRPr="0073029B" w:rsidRDefault="003855FD" w:rsidP="003855FD">
      <w:pPr>
        <w:pStyle w:val="Default"/>
        <w:rPr>
          <w:rFonts w:ascii="Tahoma" w:eastAsia="Arial Narrow" w:hAnsi="Tahoma" w:cs="Tahoma"/>
          <w:sz w:val="16"/>
          <w:szCs w:val="16"/>
        </w:rPr>
      </w:pPr>
    </w:p>
    <w:p w14:paraId="1FC0FF97" w14:textId="77777777" w:rsidR="003855FD" w:rsidRPr="0073029B" w:rsidRDefault="003855FD" w:rsidP="003855FD">
      <w:pPr>
        <w:pStyle w:val="Default"/>
        <w:rPr>
          <w:rFonts w:ascii="Tahoma" w:eastAsia="Arial Narrow" w:hAnsi="Tahoma" w:cs="Tahoma"/>
          <w:sz w:val="16"/>
          <w:szCs w:val="16"/>
        </w:rPr>
      </w:pPr>
    </w:p>
    <w:p w14:paraId="4A1A1766" w14:textId="77777777" w:rsidR="003855FD" w:rsidRPr="0073029B" w:rsidRDefault="003855FD" w:rsidP="003855FD">
      <w:pPr>
        <w:pStyle w:val="Default"/>
        <w:rPr>
          <w:rFonts w:ascii="Tahoma" w:eastAsia="Arial Narrow" w:hAnsi="Tahoma" w:cs="Tahoma"/>
          <w:sz w:val="16"/>
          <w:szCs w:val="16"/>
        </w:rPr>
      </w:pPr>
    </w:p>
    <w:p w14:paraId="66009233" w14:textId="77777777" w:rsidR="003855FD" w:rsidRPr="0073029B" w:rsidRDefault="003855FD" w:rsidP="003855FD">
      <w:pPr>
        <w:pStyle w:val="Default"/>
        <w:rPr>
          <w:rFonts w:ascii="Tahoma" w:eastAsia="Arial Narrow" w:hAnsi="Tahoma" w:cs="Tahoma"/>
          <w:sz w:val="16"/>
          <w:szCs w:val="16"/>
        </w:rPr>
      </w:pPr>
    </w:p>
    <w:p w14:paraId="3EF588D1" w14:textId="77777777" w:rsidR="003855FD" w:rsidRPr="0073029B" w:rsidRDefault="003855FD" w:rsidP="003855FD">
      <w:pPr>
        <w:pStyle w:val="Default"/>
        <w:rPr>
          <w:rFonts w:ascii="Tahoma" w:eastAsia="Arial Narrow" w:hAnsi="Tahoma" w:cs="Tahoma"/>
          <w:sz w:val="16"/>
          <w:szCs w:val="16"/>
        </w:rPr>
      </w:pPr>
    </w:p>
    <w:p w14:paraId="6C8E8F0B" w14:textId="77777777" w:rsidR="003855FD" w:rsidRPr="0073029B" w:rsidRDefault="003855FD" w:rsidP="003855FD">
      <w:pPr>
        <w:pStyle w:val="Default"/>
        <w:spacing w:line="276" w:lineRule="auto"/>
        <w:jc w:val="both"/>
        <w:rPr>
          <w:rFonts w:ascii="Tahoma" w:eastAsia="Arial Narrow" w:hAnsi="Tahoma" w:cs="Tahoma"/>
          <w:sz w:val="18"/>
          <w:szCs w:val="16"/>
          <w:u w:val="single"/>
        </w:rPr>
      </w:pPr>
      <w:bookmarkStart w:id="73" w:name="_Hlk191369798"/>
      <w:r w:rsidRPr="0073029B">
        <w:rPr>
          <w:rFonts w:ascii="Tahoma" w:eastAsia="Arial Narrow" w:hAnsi="Tahoma" w:cs="Tahoma"/>
          <w:b/>
          <w:sz w:val="18"/>
          <w:szCs w:val="16"/>
          <w:u w:val="single"/>
        </w:rPr>
        <w:lastRenderedPageBreak/>
        <w:t>Intervención Pública 7.</w:t>
      </w:r>
      <w:r w:rsidRPr="0073029B">
        <w:rPr>
          <w:rFonts w:ascii="Tahoma" w:eastAsia="Arial Narrow" w:hAnsi="Tahoma" w:cs="Tahoma"/>
          <w:sz w:val="18"/>
          <w:szCs w:val="16"/>
          <w:u w:val="single"/>
        </w:rPr>
        <w:t xml:space="preserve"> Lucha contra la criminalidad organizada.</w:t>
      </w:r>
    </w:p>
    <w:p w14:paraId="34128006" w14:textId="77777777" w:rsidR="003855FD" w:rsidRPr="0073029B" w:rsidRDefault="003855FD" w:rsidP="003855FD">
      <w:pPr>
        <w:pStyle w:val="Default"/>
        <w:spacing w:line="276" w:lineRule="auto"/>
        <w:jc w:val="both"/>
        <w:rPr>
          <w:rFonts w:ascii="Tahoma" w:eastAsia="Arial Narrow" w:hAnsi="Tahoma" w:cs="Tahoma"/>
          <w:sz w:val="18"/>
          <w:szCs w:val="16"/>
          <w:u w:val="single"/>
        </w:rPr>
      </w:pPr>
    </w:p>
    <w:p w14:paraId="44C636BA" w14:textId="77777777" w:rsidR="003855FD" w:rsidRPr="0073029B" w:rsidRDefault="003855FD" w:rsidP="003855FD">
      <w:pPr>
        <w:pStyle w:val="Default"/>
        <w:spacing w:line="276" w:lineRule="auto"/>
        <w:jc w:val="both"/>
        <w:rPr>
          <w:rFonts w:ascii="Tahoma" w:eastAsia="Arial Narrow" w:hAnsi="Tahoma" w:cs="Tahoma"/>
          <w:sz w:val="18"/>
          <w:szCs w:val="16"/>
        </w:rPr>
      </w:pPr>
      <w:r w:rsidRPr="0073029B">
        <w:rPr>
          <w:rFonts w:ascii="Tahoma" w:eastAsia="Arial Narrow" w:hAnsi="Tahoma" w:cs="Tahoma"/>
          <w:b/>
          <w:sz w:val="18"/>
          <w:szCs w:val="16"/>
        </w:rPr>
        <w:t>Objetivo 7.1</w:t>
      </w:r>
      <w:r w:rsidRPr="0073029B">
        <w:rPr>
          <w:rFonts w:ascii="Tahoma" w:eastAsia="Arial Narrow" w:hAnsi="Tahoma" w:cs="Tahoma"/>
          <w:sz w:val="18"/>
          <w:szCs w:val="16"/>
        </w:rPr>
        <w:t xml:space="preserve"> Combatir la criminalidad organizada a través de la desarticulación de sus estructuras, coadyuvando así a la mejora de la seguridad del país.</w:t>
      </w:r>
    </w:p>
    <w:bookmarkEnd w:id="73"/>
    <w:p w14:paraId="032E6187" w14:textId="77777777" w:rsidR="003855FD" w:rsidRPr="0073029B" w:rsidRDefault="003855FD"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6"/>
        <w:gridCol w:w="1210"/>
        <w:gridCol w:w="6677"/>
      </w:tblGrid>
      <w:tr w:rsidR="003855FD" w:rsidRPr="0073029B" w14:paraId="4F285B07" w14:textId="77777777" w:rsidTr="004D2834">
        <w:trPr>
          <w:trHeight w:val="228"/>
          <w:tblHeader/>
        </w:trPr>
        <w:tc>
          <w:tcPr>
            <w:tcW w:w="1419" w:type="pct"/>
            <w:gridSpan w:val="2"/>
            <w:shd w:val="clear" w:color="auto" w:fill="003A70"/>
            <w:vAlign w:val="center"/>
            <w:hideMark/>
          </w:tcPr>
          <w:p w14:paraId="2560375C"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581" w:type="pct"/>
            <w:shd w:val="clear" w:color="auto" w:fill="003A70"/>
            <w:vAlign w:val="center"/>
            <w:hideMark/>
          </w:tcPr>
          <w:p w14:paraId="77388A8E"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A.7.1.1</w:t>
            </w:r>
          </w:p>
        </w:tc>
      </w:tr>
      <w:tr w:rsidR="003855FD" w:rsidRPr="0073029B" w14:paraId="70EE3861" w14:textId="77777777" w:rsidTr="004D2834">
        <w:trPr>
          <w:trHeight w:val="288"/>
          <w:tblHeader/>
        </w:trPr>
        <w:tc>
          <w:tcPr>
            <w:tcW w:w="1419" w:type="pct"/>
            <w:gridSpan w:val="2"/>
            <w:shd w:val="clear" w:color="000000" w:fill="D9D9D9"/>
            <w:vAlign w:val="center"/>
            <w:hideMark/>
          </w:tcPr>
          <w:p w14:paraId="5A38F5AE"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81" w:type="pct"/>
            <w:shd w:val="clear" w:color="000000" w:fill="D9D9D9"/>
            <w:vAlign w:val="center"/>
            <w:hideMark/>
          </w:tcPr>
          <w:p w14:paraId="563601C1"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04802470" w14:textId="77777777" w:rsidTr="004D2834">
        <w:trPr>
          <w:trHeight w:val="624"/>
        </w:trPr>
        <w:tc>
          <w:tcPr>
            <w:tcW w:w="1419" w:type="pct"/>
            <w:gridSpan w:val="2"/>
            <w:shd w:val="clear" w:color="auto" w:fill="003A70"/>
            <w:hideMark/>
          </w:tcPr>
          <w:p w14:paraId="7DF5D752"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581" w:type="pct"/>
            <w:shd w:val="clear" w:color="auto" w:fill="003A70"/>
            <w:hideMark/>
          </w:tcPr>
          <w:p w14:paraId="5B526F2E" w14:textId="77777777" w:rsidR="003855FD" w:rsidRPr="0073029B" w:rsidRDefault="003855FD" w:rsidP="004D2834">
            <w:pPr>
              <w:spacing w:after="0"/>
              <w:jc w:val="both"/>
              <w:rPr>
                <w:rFonts w:cs="Tahoma"/>
                <w:b/>
                <w:lang w:eastAsia="es-CR"/>
              </w:rPr>
            </w:pPr>
            <w:bookmarkStart w:id="74" w:name="_Toc202257799"/>
            <w:r w:rsidRPr="0073029B">
              <w:rPr>
                <w:rFonts w:cs="Tahoma"/>
                <w:b/>
                <w:lang w:eastAsia="es-CR"/>
              </w:rPr>
              <w:t>A.7.1.1 Cantidad de organizaciones criminales dedicadas al tráfico internacional de drogas ilícitas que han sido debilitadas, destruidas, desestabilizadas o eliminadas de forma total o parcial mediante las investigaciones y operaciones policiales desarrolladas por la Policía de Control de Drogas (PCD).</w:t>
            </w:r>
            <w:bookmarkEnd w:id="74"/>
          </w:p>
        </w:tc>
      </w:tr>
      <w:tr w:rsidR="003855FD" w:rsidRPr="0073029B" w14:paraId="4D4575F0" w14:textId="77777777" w:rsidTr="004D2834">
        <w:trPr>
          <w:trHeight w:val="3420"/>
        </w:trPr>
        <w:tc>
          <w:tcPr>
            <w:tcW w:w="1419" w:type="pct"/>
            <w:gridSpan w:val="2"/>
            <w:shd w:val="clear" w:color="auto" w:fill="auto"/>
            <w:hideMark/>
          </w:tcPr>
          <w:p w14:paraId="43027F4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81" w:type="pct"/>
            <w:shd w:val="clear" w:color="auto" w:fill="auto"/>
            <w:hideMark/>
          </w:tcPr>
          <w:p w14:paraId="51DAAA07"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Una organización criminal se define como aquel grupo estructurado de dos o más personas que exista durante cierto tiempo y que actúa concertadamente con el propósito de cometer uno o más delitos graves (Art. 1, Ley 8754 contra La Delincuencia Organizada y artículo, artículo 9 Creación de la jurisdicción especializada en delincuencia organizada en Costa Rica N°9481). Este tipo de investigaciones son excepcionales, que por su complejidad conllevan una duración más extensa, así como la utilización de gran cantidad de recursos, así como colaboración de dependencias policiales y de Inteligencia nacionales e internacionales.</w:t>
            </w:r>
          </w:p>
          <w:p w14:paraId="4CB9AE7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El tráfico internacional de drogas se define como el delito consistente en la venta, compra, intercambio, trueque o cualquier tipo de suministro de drogas ilegales y/o sus precursores, cuyos efectos se den entre dos o más países.</w:t>
            </w:r>
          </w:p>
          <w:p w14:paraId="0A665EC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Una organización delictiva de carácter internacional, se define como aquella que utiliza el territorio nacional para realizar sus operaciones, con el fin de traficar drogas a través de nuestras fronteras, dentro de estas acciones se encuentran el bodegaje, reuniones para concretar envíos de droga, envíos de alijos de estupefacientes y dinero al exterior o viceversa, reclutamiento de personal encargado de realizar diversas actividades delictivas dentro de la organización criminal, entre otros (artículo 58 de la Reforma integral Ley sobre estupefacientes, sustancias psicotrópicas, drogas de uso no autorizado, actividades conexas, legitimación de capitales y financiamiento al terrorismo </w:t>
            </w:r>
            <w:proofErr w:type="spellStart"/>
            <w:r w:rsidRPr="0073029B">
              <w:rPr>
                <w:rFonts w:eastAsia="Times New Roman" w:cs="Tahoma"/>
                <w:color w:val="000000"/>
                <w:szCs w:val="16"/>
                <w:lang w:eastAsia="es-CR"/>
              </w:rPr>
              <w:t>Nº</w:t>
            </w:r>
            <w:proofErr w:type="spellEnd"/>
            <w:r w:rsidRPr="0073029B">
              <w:rPr>
                <w:rFonts w:eastAsia="Times New Roman" w:cs="Tahoma"/>
                <w:color w:val="000000"/>
                <w:szCs w:val="16"/>
                <w:lang w:eastAsia="es-CR"/>
              </w:rPr>
              <w:t xml:space="preserve"> 8204), todas con el fin de poder cometer el ilícito.</w:t>
            </w:r>
          </w:p>
          <w:p w14:paraId="144F9CF7"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Desarticular: Es toda acción enfocada en debilitar, destruir, desestabilizar y eliminar de forma total o parcial una organización dedicada a cometer delitos.</w:t>
            </w:r>
          </w:p>
        </w:tc>
      </w:tr>
      <w:tr w:rsidR="003855FD" w:rsidRPr="0073029B" w14:paraId="073EE668" w14:textId="77777777" w:rsidTr="004D2834">
        <w:trPr>
          <w:trHeight w:val="408"/>
        </w:trPr>
        <w:tc>
          <w:tcPr>
            <w:tcW w:w="1419" w:type="pct"/>
            <w:gridSpan w:val="2"/>
            <w:shd w:val="clear" w:color="auto" w:fill="auto"/>
            <w:hideMark/>
          </w:tcPr>
          <w:p w14:paraId="7CCA599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581" w:type="pct"/>
            <w:shd w:val="clear" w:color="auto" w:fill="auto"/>
            <w:hideMark/>
          </w:tcPr>
          <w:p w14:paraId="79DBFB26"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Sumatoria de todas las organizaciones criminales dedicadas al tráfico internacional de drogas ilícitas que han sido debilitadas, destruidas, desestabilizadas o eliminadas de forma total o parcial.</w:t>
            </w:r>
          </w:p>
        </w:tc>
      </w:tr>
      <w:tr w:rsidR="003855FD" w:rsidRPr="0073029B" w14:paraId="02942922" w14:textId="77777777" w:rsidTr="004D2834">
        <w:trPr>
          <w:trHeight w:val="468"/>
        </w:trPr>
        <w:tc>
          <w:tcPr>
            <w:tcW w:w="1419" w:type="pct"/>
            <w:gridSpan w:val="2"/>
            <w:shd w:val="clear" w:color="auto" w:fill="auto"/>
            <w:hideMark/>
          </w:tcPr>
          <w:p w14:paraId="1319D22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581" w:type="pct"/>
            <w:shd w:val="clear" w:color="auto" w:fill="auto"/>
            <w:hideMark/>
          </w:tcPr>
          <w:p w14:paraId="60A05971"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Organizaciones criminales dedicadas al tráfico internacional de drogas ilícitas que han sido debilitadas, destruidas, desestabilizadas o eliminadas de forma total o parcial.</w:t>
            </w:r>
          </w:p>
        </w:tc>
      </w:tr>
      <w:tr w:rsidR="003855FD" w:rsidRPr="0073029B" w14:paraId="5C0F0676" w14:textId="77777777" w:rsidTr="004D2834">
        <w:trPr>
          <w:trHeight w:val="276"/>
        </w:trPr>
        <w:tc>
          <w:tcPr>
            <w:tcW w:w="1419" w:type="pct"/>
            <w:gridSpan w:val="2"/>
            <w:shd w:val="clear" w:color="auto" w:fill="auto"/>
            <w:hideMark/>
          </w:tcPr>
          <w:p w14:paraId="08FAB21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81" w:type="pct"/>
            <w:shd w:val="clear" w:color="auto" w:fill="auto"/>
            <w:hideMark/>
          </w:tcPr>
          <w:p w14:paraId="148F647F"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Número</w:t>
            </w:r>
          </w:p>
        </w:tc>
      </w:tr>
      <w:tr w:rsidR="003855FD" w:rsidRPr="0073029B" w14:paraId="4C14AC13" w14:textId="77777777" w:rsidTr="004D2834">
        <w:trPr>
          <w:trHeight w:val="421"/>
        </w:trPr>
        <w:tc>
          <w:tcPr>
            <w:tcW w:w="1419" w:type="pct"/>
            <w:gridSpan w:val="2"/>
            <w:shd w:val="clear" w:color="auto" w:fill="auto"/>
            <w:hideMark/>
          </w:tcPr>
          <w:p w14:paraId="4777BF8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81" w:type="pct"/>
            <w:shd w:val="clear" w:color="auto" w:fill="auto"/>
            <w:hideMark/>
          </w:tcPr>
          <w:p w14:paraId="57FAD044"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"X" organizaciones criminales dedicadas al tráfico internacional de drogas ilícitas que han sido debilitadas, destruidas, desestabilizadas o eliminadas de forma total o parcial mediante las investigaciones y operaciones policiales desarrolladas por la Policía de Control de Drogas.</w:t>
            </w:r>
          </w:p>
        </w:tc>
      </w:tr>
      <w:tr w:rsidR="003855FD" w:rsidRPr="0073029B" w14:paraId="35394386" w14:textId="77777777" w:rsidTr="004D2834">
        <w:trPr>
          <w:trHeight w:val="288"/>
        </w:trPr>
        <w:tc>
          <w:tcPr>
            <w:tcW w:w="770" w:type="pct"/>
            <w:vMerge w:val="restart"/>
            <w:shd w:val="clear" w:color="auto" w:fill="auto"/>
            <w:hideMark/>
          </w:tcPr>
          <w:p w14:paraId="501A39E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49" w:type="pct"/>
            <w:shd w:val="clear" w:color="auto" w:fill="auto"/>
            <w:hideMark/>
          </w:tcPr>
          <w:p w14:paraId="192C4D6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81" w:type="pct"/>
            <w:shd w:val="clear" w:color="auto" w:fill="auto"/>
            <w:hideMark/>
          </w:tcPr>
          <w:p w14:paraId="53A327C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w:t>
            </w:r>
          </w:p>
        </w:tc>
      </w:tr>
      <w:tr w:rsidR="003855FD" w:rsidRPr="0073029B" w14:paraId="7DA52A67" w14:textId="77777777" w:rsidTr="004D2834">
        <w:trPr>
          <w:trHeight w:val="315"/>
        </w:trPr>
        <w:tc>
          <w:tcPr>
            <w:tcW w:w="770" w:type="pct"/>
            <w:vMerge/>
            <w:vAlign w:val="center"/>
            <w:hideMark/>
          </w:tcPr>
          <w:p w14:paraId="70E043CB" w14:textId="77777777" w:rsidR="003855FD" w:rsidRPr="0073029B" w:rsidRDefault="003855FD" w:rsidP="004D2834">
            <w:pPr>
              <w:spacing w:after="0" w:line="240" w:lineRule="auto"/>
              <w:rPr>
                <w:rFonts w:eastAsia="Times New Roman" w:cs="Tahoma"/>
                <w:b/>
                <w:bCs/>
                <w:color w:val="000000"/>
                <w:szCs w:val="16"/>
                <w:lang w:eastAsia="es-CR"/>
              </w:rPr>
            </w:pPr>
          </w:p>
        </w:tc>
        <w:tc>
          <w:tcPr>
            <w:tcW w:w="649" w:type="pct"/>
            <w:shd w:val="clear" w:color="auto" w:fill="auto"/>
            <w:hideMark/>
          </w:tcPr>
          <w:p w14:paraId="6695B3F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81" w:type="pct"/>
            <w:shd w:val="clear" w:color="auto" w:fill="auto"/>
            <w:hideMark/>
          </w:tcPr>
          <w:p w14:paraId="1825CFE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Crimen organizado</w:t>
            </w:r>
          </w:p>
        </w:tc>
      </w:tr>
      <w:tr w:rsidR="003855FD" w:rsidRPr="0073029B" w14:paraId="7C1555EB" w14:textId="77777777" w:rsidTr="004D2834">
        <w:trPr>
          <w:trHeight w:val="288"/>
        </w:trPr>
        <w:tc>
          <w:tcPr>
            <w:tcW w:w="1419" w:type="pct"/>
            <w:gridSpan w:val="2"/>
            <w:shd w:val="clear" w:color="auto" w:fill="auto"/>
            <w:hideMark/>
          </w:tcPr>
          <w:p w14:paraId="4458A3A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581" w:type="pct"/>
            <w:shd w:val="clear" w:color="auto" w:fill="auto"/>
            <w:hideMark/>
          </w:tcPr>
          <w:p w14:paraId="178C4A9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35</w:t>
            </w:r>
          </w:p>
        </w:tc>
      </w:tr>
      <w:tr w:rsidR="003855FD" w:rsidRPr="0073029B" w14:paraId="4B5243D8" w14:textId="77777777" w:rsidTr="004D2834">
        <w:trPr>
          <w:trHeight w:val="1212"/>
        </w:trPr>
        <w:tc>
          <w:tcPr>
            <w:tcW w:w="1419" w:type="pct"/>
            <w:gridSpan w:val="2"/>
            <w:shd w:val="clear" w:color="auto" w:fill="auto"/>
            <w:hideMark/>
          </w:tcPr>
          <w:p w14:paraId="598E0FE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581" w:type="pct"/>
            <w:shd w:val="clear" w:color="auto" w:fill="auto"/>
            <w:hideMark/>
          </w:tcPr>
          <w:p w14:paraId="3A042027"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40</w:t>
            </w:r>
            <w:r w:rsidRPr="0073029B">
              <w:rPr>
                <w:rFonts w:eastAsia="Times New Roman" w:cs="Tahoma"/>
                <w:color w:val="000000"/>
                <w:szCs w:val="16"/>
                <w:lang w:eastAsia="es-CR"/>
              </w:rPr>
              <w:br/>
            </w:r>
            <w:r w:rsidRPr="0073029B">
              <w:rPr>
                <w:rFonts w:eastAsia="Times New Roman" w:cs="Tahoma"/>
                <w:color w:val="000000"/>
                <w:szCs w:val="16"/>
                <w:lang w:eastAsia="es-CR"/>
              </w:rPr>
              <w:br/>
              <w:t>2023: 10</w:t>
            </w:r>
            <w:r w:rsidRPr="0073029B">
              <w:rPr>
                <w:rFonts w:eastAsia="Times New Roman" w:cs="Tahoma"/>
                <w:color w:val="000000"/>
                <w:szCs w:val="16"/>
                <w:lang w:eastAsia="es-CR"/>
              </w:rPr>
              <w:br/>
              <w:t>2024: 10</w:t>
            </w:r>
            <w:r w:rsidRPr="0073029B">
              <w:rPr>
                <w:rFonts w:eastAsia="Times New Roman" w:cs="Tahoma"/>
                <w:color w:val="000000"/>
                <w:szCs w:val="16"/>
                <w:lang w:eastAsia="es-CR"/>
              </w:rPr>
              <w:br/>
              <w:t>2025: 10</w:t>
            </w:r>
            <w:r w:rsidRPr="0073029B">
              <w:rPr>
                <w:rFonts w:eastAsia="Times New Roman" w:cs="Tahoma"/>
                <w:color w:val="000000"/>
                <w:szCs w:val="16"/>
                <w:lang w:eastAsia="es-CR"/>
              </w:rPr>
              <w:br/>
              <w:t>2026: 10</w:t>
            </w:r>
          </w:p>
        </w:tc>
      </w:tr>
      <w:tr w:rsidR="003855FD" w:rsidRPr="0073029B" w14:paraId="5F292F51" w14:textId="77777777" w:rsidTr="004D2834">
        <w:trPr>
          <w:trHeight w:val="420"/>
        </w:trPr>
        <w:tc>
          <w:tcPr>
            <w:tcW w:w="1419" w:type="pct"/>
            <w:gridSpan w:val="2"/>
            <w:shd w:val="clear" w:color="auto" w:fill="auto"/>
            <w:hideMark/>
          </w:tcPr>
          <w:p w14:paraId="2E01A0D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w:t>
            </w:r>
            <w:r w:rsidRPr="0073029B">
              <w:rPr>
                <w:rFonts w:eastAsia="Times New Roman" w:cs="Tahoma"/>
                <w:b/>
                <w:bCs/>
                <w:color w:val="000000"/>
                <w:szCs w:val="16"/>
                <w:lang w:eastAsia="es-CR"/>
              </w:rPr>
              <w:br/>
              <w:t>seguimiento</w:t>
            </w:r>
          </w:p>
        </w:tc>
        <w:tc>
          <w:tcPr>
            <w:tcW w:w="3581" w:type="pct"/>
            <w:shd w:val="clear" w:color="auto" w:fill="auto"/>
            <w:hideMark/>
          </w:tcPr>
          <w:p w14:paraId="0F843D1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Semestral y anual</w:t>
            </w:r>
          </w:p>
        </w:tc>
      </w:tr>
      <w:tr w:rsidR="003855FD" w:rsidRPr="0073029B" w14:paraId="3E36CD40" w14:textId="77777777" w:rsidTr="004D2834">
        <w:trPr>
          <w:trHeight w:val="432"/>
        </w:trPr>
        <w:tc>
          <w:tcPr>
            <w:tcW w:w="1419" w:type="pct"/>
            <w:gridSpan w:val="2"/>
            <w:shd w:val="clear" w:color="auto" w:fill="auto"/>
            <w:hideMark/>
          </w:tcPr>
          <w:p w14:paraId="4A090F9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81" w:type="pct"/>
            <w:shd w:val="clear" w:color="auto" w:fill="auto"/>
            <w:hideMark/>
          </w:tcPr>
          <w:p w14:paraId="58A7F38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Ministerio de Seguridad Pública, Policía Control de Drogas, Centro de Información Policial Antidrogas (CIPA), Información extraída de “HISTORICO PCD.xlsx”</w:t>
            </w:r>
          </w:p>
        </w:tc>
      </w:tr>
      <w:tr w:rsidR="003855FD" w:rsidRPr="0073029B" w14:paraId="565199CC" w14:textId="77777777" w:rsidTr="004D2834">
        <w:trPr>
          <w:trHeight w:val="421"/>
        </w:trPr>
        <w:tc>
          <w:tcPr>
            <w:tcW w:w="1419" w:type="pct"/>
            <w:gridSpan w:val="2"/>
            <w:shd w:val="clear" w:color="auto" w:fill="auto"/>
            <w:hideMark/>
          </w:tcPr>
          <w:p w14:paraId="576CDB1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Clasificación</w:t>
            </w:r>
          </w:p>
        </w:tc>
        <w:tc>
          <w:tcPr>
            <w:tcW w:w="3581" w:type="pct"/>
            <w:shd w:val="clear" w:color="auto" w:fill="auto"/>
            <w:hideMark/>
          </w:tcPr>
          <w:p w14:paraId="061E5FE5"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2BD74B03" w14:textId="77777777" w:rsidTr="004D2834">
        <w:trPr>
          <w:trHeight w:val="564"/>
        </w:trPr>
        <w:tc>
          <w:tcPr>
            <w:tcW w:w="1419" w:type="pct"/>
            <w:gridSpan w:val="2"/>
            <w:shd w:val="clear" w:color="auto" w:fill="auto"/>
            <w:hideMark/>
          </w:tcPr>
          <w:p w14:paraId="13861D8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81" w:type="pct"/>
            <w:shd w:val="clear" w:color="auto" w:fill="auto"/>
            <w:hideMark/>
          </w:tcPr>
          <w:p w14:paraId="1B266AA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Registro Administrativo de organizaciones criminales internacionales que han sido debilitadas, destruidas, desestabilizadas o</w:t>
            </w:r>
            <w:r w:rsidRPr="0073029B">
              <w:rPr>
                <w:rFonts w:eastAsia="Times New Roman" w:cs="Tahoma"/>
                <w:color w:val="000000"/>
                <w:szCs w:val="16"/>
                <w:lang w:eastAsia="es-CR"/>
              </w:rPr>
              <w:br/>
              <w:t>eliminadas de forma total o parcial.</w:t>
            </w:r>
          </w:p>
        </w:tc>
      </w:tr>
      <w:tr w:rsidR="003855FD" w:rsidRPr="0073029B" w14:paraId="7178DD52" w14:textId="77777777" w:rsidTr="004D2834">
        <w:trPr>
          <w:trHeight w:val="432"/>
        </w:trPr>
        <w:tc>
          <w:tcPr>
            <w:tcW w:w="1419" w:type="pct"/>
            <w:gridSpan w:val="2"/>
            <w:shd w:val="clear" w:color="auto" w:fill="auto"/>
            <w:hideMark/>
          </w:tcPr>
          <w:p w14:paraId="7D65759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w:t>
            </w:r>
            <w:r w:rsidRPr="0073029B">
              <w:rPr>
                <w:rFonts w:eastAsia="Times New Roman" w:cs="Tahoma"/>
                <w:b/>
                <w:bCs/>
                <w:color w:val="000000"/>
                <w:szCs w:val="16"/>
                <w:lang w:eastAsia="es-CR"/>
              </w:rPr>
              <w:br/>
              <w:t>Sostenible (ODS) vinculado</w:t>
            </w:r>
          </w:p>
        </w:tc>
        <w:tc>
          <w:tcPr>
            <w:tcW w:w="3581" w:type="pct"/>
            <w:shd w:val="clear" w:color="auto" w:fill="auto"/>
            <w:hideMark/>
          </w:tcPr>
          <w:p w14:paraId="385D61AC"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16: 16.1.1, 16.4.2</w:t>
            </w:r>
          </w:p>
        </w:tc>
      </w:tr>
      <w:tr w:rsidR="003855FD" w:rsidRPr="0073029B" w14:paraId="49E125F6" w14:textId="77777777" w:rsidTr="004D2834">
        <w:trPr>
          <w:trHeight w:val="432"/>
        </w:trPr>
        <w:tc>
          <w:tcPr>
            <w:tcW w:w="1419" w:type="pct"/>
            <w:gridSpan w:val="2"/>
            <w:shd w:val="clear" w:color="auto" w:fill="auto"/>
            <w:hideMark/>
          </w:tcPr>
          <w:p w14:paraId="44CF8AD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581" w:type="pct"/>
            <w:shd w:val="clear" w:color="auto" w:fill="auto"/>
            <w:hideMark/>
          </w:tcPr>
          <w:p w14:paraId="690D9A31"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21D4C417" w14:textId="77777777" w:rsidTr="004D2834">
        <w:trPr>
          <w:trHeight w:val="432"/>
        </w:trPr>
        <w:tc>
          <w:tcPr>
            <w:tcW w:w="1419" w:type="pct"/>
            <w:gridSpan w:val="2"/>
            <w:shd w:val="clear" w:color="auto" w:fill="auto"/>
            <w:hideMark/>
          </w:tcPr>
          <w:p w14:paraId="5D7A383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 de Montevideo</w:t>
            </w:r>
          </w:p>
        </w:tc>
        <w:tc>
          <w:tcPr>
            <w:tcW w:w="3581" w:type="pct"/>
            <w:shd w:val="clear" w:color="auto" w:fill="auto"/>
            <w:hideMark/>
          </w:tcPr>
          <w:p w14:paraId="34CC6F4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 1 y 4.</w:t>
            </w:r>
          </w:p>
        </w:tc>
      </w:tr>
      <w:tr w:rsidR="003855FD" w:rsidRPr="0073029B" w14:paraId="6B7C081F" w14:textId="77777777" w:rsidTr="004D2834">
        <w:trPr>
          <w:trHeight w:val="528"/>
        </w:trPr>
        <w:tc>
          <w:tcPr>
            <w:tcW w:w="1419" w:type="pct"/>
            <w:gridSpan w:val="2"/>
            <w:shd w:val="clear" w:color="auto" w:fill="auto"/>
            <w:hideMark/>
          </w:tcPr>
          <w:p w14:paraId="7A73780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 Desarrollo</w:t>
            </w:r>
          </w:p>
        </w:tc>
        <w:tc>
          <w:tcPr>
            <w:tcW w:w="3581" w:type="pct"/>
            <w:shd w:val="clear" w:color="auto" w:fill="auto"/>
            <w:hideMark/>
          </w:tcPr>
          <w:p w14:paraId="3AD07DEF"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PRD Huetar Caribe: 5.1.1</w:t>
            </w:r>
          </w:p>
        </w:tc>
      </w:tr>
      <w:tr w:rsidR="003855FD" w:rsidRPr="0073029B" w14:paraId="0A0833D1" w14:textId="77777777" w:rsidTr="004D2834">
        <w:trPr>
          <w:trHeight w:val="2880"/>
        </w:trPr>
        <w:tc>
          <w:tcPr>
            <w:tcW w:w="1419" w:type="pct"/>
            <w:gridSpan w:val="2"/>
            <w:shd w:val="clear" w:color="auto" w:fill="auto"/>
            <w:hideMark/>
          </w:tcPr>
          <w:p w14:paraId="1050865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81" w:type="pct"/>
            <w:shd w:val="clear" w:color="auto" w:fill="auto"/>
            <w:hideMark/>
          </w:tcPr>
          <w:p w14:paraId="7C3ECC2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Policía Control de Drogas direcciona principalmente sus esfuerzos a la lucha contra las principales organizaciones narcotraficantes y expendedores locales e internacionales que afectan las comunidades de nuestro país, por ello nuestra institución ha optado por adaptarse y evaluar los cambios que ha tenido el narcotráfico, con el fin de continuar minimizando la disponibilidad de drogas, así como minimizar la violencia y homicidios que se dan producto de las actividades relacionadas con tráfico de sustancias ilícitas.</w:t>
            </w:r>
          </w:p>
          <w:p w14:paraId="102C2EB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Es importante acotar que los resultados obtenidos en toda investigación de la PCD (decomisos y detenidos) se contabilizan y se ingresan en nuestra estadística de forma separada. Durante el desarrollo de una investigación dirigida contra una Organización Criminal, se pueden presentar decomisos, operativos y detenciones que van a ser contabilizadas dentro de los resultados de dicho caso. No obstante, se puede presentar la necesidad operativa y por Dirección Funcional del Ministerio Público que deban desarrollarse de forma paralela investigaciones de un menor rango que fortalecen la persecución penal sobre esa organización; estas investigaciones de menor rango, si bien es cierto forman parte de la Organización que se investiga, los resultados de las mismas se contabilizan por separado; una vez finalizada la investigación compleja contra la</w:t>
            </w:r>
            <w:r w:rsidRPr="0073029B">
              <w:rPr>
                <w:rFonts w:eastAsia="Times New Roman" w:cs="Tahoma"/>
                <w:color w:val="000000"/>
                <w:szCs w:val="16"/>
                <w:lang w:eastAsia="es-CR"/>
              </w:rPr>
              <w:br/>
              <w:t>Organización Criminal, se hace un recuento de todos los resultados que se dieron durante el desarrollo de la misma con el fin de realizar un análisis del impacto que se obtuvo en la investigación.</w:t>
            </w:r>
          </w:p>
        </w:tc>
      </w:tr>
      <w:tr w:rsidR="003855FD" w:rsidRPr="0073029B" w14:paraId="6359DAAC" w14:textId="77777777" w:rsidTr="004D2834">
        <w:trPr>
          <w:trHeight w:val="984"/>
        </w:trPr>
        <w:tc>
          <w:tcPr>
            <w:tcW w:w="1419" w:type="pct"/>
            <w:gridSpan w:val="2"/>
            <w:shd w:val="clear" w:color="auto" w:fill="003A70"/>
            <w:hideMark/>
          </w:tcPr>
          <w:p w14:paraId="77B8818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581" w:type="pct"/>
            <w:shd w:val="clear" w:color="auto" w:fill="auto"/>
            <w:hideMark/>
          </w:tcPr>
          <w:p w14:paraId="7C4E4FD7"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 xml:space="preserve">2024: </w:t>
            </w:r>
            <w:r w:rsidRPr="0073029B">
              <w:rPr>
                <w:rFonts w:eastAsia="Times New Roman" w:cs="Tahoma"/>
                <w:color w:val="000000"/>
                <w:szCs w:val="16"/>
                <w:lang w:eastAsia="es-CR"/>
              </w:rPr>
              <w:t>Se modificó el nombre del indicador, la definición conceptual, la fórmula de cálculo, los componentes involucrados en la fórmula del cálculo, la interpretación, la desagregación temática, la fuente de información, el tipo de operación estadística, la vinculación con el Plan Regional de Desarrollo y los comentarios generales. Oficio de aprobación MIDEPLAN-DVM-OF-0063-2024 (rige a partir de 2024).</w:t>
            </w:r>
          </w:p>
        </w:tc>
      </w:tr>
    </w:tbl>
    <w:p w14:paraId="0926E429" w14:textId="77777777" w:rsidR="003855FD" w:rsidRPr="00FE6ADC" w:rsidRDefault="003855FD" w:rsidP="003855FD">
      <w:pPr>
        <w:pStyle w:val="Default"/>
        <w:rPr>
          <w:rFonts w:ascii="Tahoma" w:eastAsia="Arial Narrow" w:hAnsi="Tahoma" w:cs="Tahoma"/>
          <w:sz w:val="16"/>
          <w:szCs w:val="16"/>
        </w:rPr>
      </w:pPr>
      <w:r w:rsidRPr="00FE6ADC">
        <w:rPr>
          <w:rFonts w:ascii="Tahoma" w:eastAsia="Arial Narrow" w:hAnsi="Tahoma" w:cs="Tahoma"/>
          <w:sz w:val="16"/>
          <w:szCs w:val="16"/>
        </w:rPr>
        <w:t>Fuente: Dir</w:t>
      </w:r>
      <w:r w:rsidRPr="00FE6ADC">
        <w:rPr>
          <w:rFonts w:ascii="Tahoma" w:hAnsi="Tahoma" w:cs="Tahoma"/>
          <w:sz w:val="16"/>
          <w:szCs w:val="16"/>
        </w:rPr>
        <w:t>ección de la Policía Control de Drogas, Ministerio de Seguridad Pública.</w:t>
      </w:r>
    </w:p>
    <w:p w14:paraId="340BAD0C" w14:textId="77777777" w:rsidR="003855FD" w:rsidRPr="0073029B" w:rsidRDefault="003855FD" w:rsidP="003855FD">
      <w:pPr>
        <w:pStyle w:val="Default"/>
        <w:rPr>
          <w:rFonts w:ascii="Tahoma" w:eastAsia="Arial Narrow" w:hAnsi="Tahoma" w:cs="Tahoma"/>
          <w:sz w:val="16"/>
          <w:szCs w:val="16"/>
        </w:rPr>
      </w:pPr>
    </w:p>
    <w:p w14:paraId="3EFA6905" w14:textId="77777777" w:rsidR="003855FD" w:rsidRPr="0073029B" w:rsidRDefault="003855FD" w:rsidP="003855FD">
      <w:pPr>
        <w:pStyle w:val="Default"/>
        <w:rPr>
          <w:rFonts w:ascii="Tahoma" w:eastAsia="Arial Narrow" w:hAnsi="Tahoma" w:cs="Tahoma"/>
          <w:sz w:val="16"/>
          <w:szCs w:val="16"/>
        </w:rPr>
      </w:pPr>
    </w:p>
    <w:p w14:paraId="279BBF7B" w14:textId="77777777" w:rsidR="003855FD" w:rsidRPr="0073029B" w:rsidRDefault="003855FD" w:rsidP="003855FD">
      <w:pPr>
        <w:pStyle w:val="Default"/>
        <w:rPr>
          <w:rFonts w:ascii="Tahoma" w:eastAsia="Arial Narrow" w:hAnsi="Tahoma" w:cs="Tahoma"/>
          <w:sz w:val="16"/>
          <w:szCs w:val="16"/>
        </w:rPr>
      </w:pPr>
    </w:p>
    <w:p w14:paraId="1D0DA348" w14:textId="77777777" w:rsidR="003855FD" w:rsidRPr="0073029B" w:rsidRDefault="003855FD" w:rsidP="003855FD">
      <w:pPr>
        <w:pStyle w:val="Default"/>
        <w:rPr>
          <w:rFonts w:ascii="Tahoma" w:eastAsia="Arial Narrow" w:hAnsi="Tahoma" w:cs="Tahoma"/>
          <w:sz w:val="16"/>
          <w:szCs w:val="16"/>
        </w:rPr>
      </w:pPr>
    </w:p>
    <w:p w14:paraId="2F3DD394" w14:textId="77777777" w:rsidR="003855FD" w:rsidRPr="0073029B" w:rsidRDefault="003855FD" w:rsidP="003855FD">
      <w:pPr>
        <w:pStyle w:val="Default"/>
        <w:rPr>
          <w:rFonts w:ascii="Tahoma" w:eastAsia="Arial Narrow" w:hAnsi="Tahoma" w:cs="Tahoma"/>
          <w:sz w:val="16"/>
          <w:szCs w:val="16"/>
        </w:rPr>
      </w:pPr>
    </w:p>
    <w:p w14:paraId="71EAA71C" w14:textId="77777777" w:rsidR="003855FD" w:rsidRPr="0073029B" w:rsidRDefault="003855FD" w:rsidP="003855FD">
      <w:pPr>
        <w:pStyle w:val="Default"/>
        <w:rPr>
          <w:rFonts w:ascii="Tahoma" w:eastAsia="Arial Narrow" w:hAnsi="Tahoma" w:cs="Tahoma"/>
          <w:sz w:val="16"/>
          <w:szCs w:val="16"/>
        </w:rPr>
      </w:pPr>
    </w:p>
    <w:p w14:paraId="5219CEEA" w14:textId="77777777" w:rsidR="003855FD" w:rsidRPr="0073029B" w:rsidRDefault="003855FD" w:rsidP="003855FD">
      <w:pPr>
        <w:pStyle w:val="Default"/>
        <w:rPr>
          <w:rFonts w:ascii="Tahoma" w:eastAsia="Arial Narrow" w:hAnsi="Tahoma" w:cs="Tahoma"/>
          <w:sz w:val="16"/>
          <w:szCs w:val="16"/>
        </w:rPr>
      </w:pPr>
    </w:p>
    <w:p w14:paraId="4323B6A8" w14:textId="77777777" w:rsidR="003855FD" w:rsidRPr="0073029B" w:rsidRDefault="003855FD" w:rsidP="003855FD">
      <w:pPr>
        <w:pStyle w:val="Default"/>
        <w:rPr>
          <w:rFonts w:ascii="Tahoma" w:eastAsia="Arial Narrow" w:hAnsi="Tahoma" w:cs="Tahoma"/>
          <w:sz w:val="16"/>
          <w:szCs w:val="16"/>
        </w:rPr>
      </w:pPr>
    </w:p>
    <w:p w14:paraId="4C232817" w14:textId="77777777" w:rsidR="003855FD" w:rsidRPr="0073029B" w:rsidRDefault="003855FD" w:rsidP="003855FD">
      <w:pPr>
        <w:pStyle w:val="Default"/>
        <w:rPr>
          <w:rFonts w:ascii="Tahoma" w:eastAsia="Arial Narrow" w:hAnsi="Tahoma" w:cs="Tahoma"/>
          <w:sz w:val="16"/>
          <w:szCs w:val="16"/>
        </w:rPr>
      </w:pPr>
    </w:p>
    <w:p w14:paraId="7BC5EB1F" w14:textId="77777777" w:rsidR="003855FD" w:rsidRPr="0073029B" w:rsidRDefault="003855FD" w:rsidP="003855FD">
      <w:pPr>
        <w:pStyle w:val="Default"/>
        <w:rPr>
          <w:rFonts w:ascii="Tahoma" w:eastAsia="Arial Narrow" w:hAnsi="Tahoma" w:cs="Tahoma"/>
          <w:sz w:val="16"/>
          <w:szCs w:val="16"/>
        </w:rPr>
      </w:pPr>
    </w:p>
    <w:p w14:paraId="72D9EC42" w14:textId="77777777" w:rsidR="003855FD" w:rsidRPr="0073029B" w:rsidRDefault="003855FD"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
        <w:gridCol w:w="1154"/>
        <w:gridCol w:w="6798"/>
      </w:tblGrid>
      <w:tr w:rsidR="003855FD" w:rsidRPr="0073029B" w14:paraId="00BAF84E" w14:textId="77777777" w:rsidTr="004D2834">
        <w:trPr>
          <w:trHeight w:val="228"/>
          <w:tblHeader/>
        </w:trPr>
        <w:tc>
          <w:tcPr>
            <w:tcW w:w="1354" w:type="pct"/>
            <w:gridSpan w:val="2"/>
            <w:shd w:val="clear" w:color="auto" w:fill="003A70"/>
            <w:vAlign w:val="center"/>
            <w:hideMark/>
          </w:tcPr>
          <w:p w14:paraId="2D49A4AD"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lastRenderedPageBreak/>
              <w:t>Indicador</w:t>
            </w:r>
          </w:p>
        </w:tc>
        <w:tc>
          <w:tcPr>
            <w:tcW w:w="3646" w:type="pct"/>
            <w:shd w:val="clear" w:color="auto" w:fill="003A70"/>
            <w:vAlign w:val="center"/>
            <w:hideMark/>
          </w:tcPr>
          <w:p w14:paraId="7D3F4EB2"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A.7.1.2</w:t>
            </w:r>
          </w:p>
        </w:tc>
      </w:tr>
      <w:tr w:rsidR="003855FD" w:rsidRPr="0073029B" w14:paraId="44906CA1" w14:textId="77777777" w:rsidTr="004D2834">
        <w:trPr>
          <w:trHeight w:val="288"/>
          <w:tblHeader/>
        </w:trPr>
        <w:tc>
          <w:tcPr>
            <w:tcW w:w="1354" w:type="pct"/>
            <w:gridSpan w:val="2"/>
            <w:shd w:val="clear" w:color="000000" w:fill="D9D9D9"/>
            <w:vAlign w:val="center"/>
            <w:hideMark/>
          </w:tcPr>
          <w:p w14:paraId="1FD482B5"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646" w:type="pct"/>
            <w:shd w:val="clear" w:color="000000" w:fill="D9D9D9"/>
            <w:vAlign w:val="center"/>
            <w:hideMark/>
          </w:tcPr>
          <w:p w14:paraId="36A72057"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4D84AC1B" w14:textId="77777777" w:rsidTr="004D2834">
        <w:trPr>
          <w:trHeight w:val="811"/>
        </w:trPr>
        <w:tc>
          <w:tcPr>
            <w:tcW w:w="1354" w:type="pct"/>
            <w:gridSpan w:val="2"/>
            <w:shd w:val="clear" w:color="auto" w:fill="003A70"/>
            <w:hideMark/>
          </w:tcPr>
          <w:p w14:paraId="73A43580"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646" w:type="pct"/>
            <w:shd w:val="clear" w:color="auto" w:fill="003A70"/>
            <w:hideMark/>
          </w:tcPr>
          <w:p w14:paraId="7DA5679B" w14:textId="77777777" w:rsidR="003855FD" w:rsidRPr="0073029B" w:rsidRDefault="003855FD" w:rsidP="004D2834">
            <w:pPr>
              <w:spacing w:after="0"/>
              <w:jc w:val="both"/>
              <w:rPr>
                <w:rFonts w:cs="Tahoma"/>
                <w:b/>
                <w:lang w:eastAsia="es-CR"/>
              </w:rPr>
            </w:pPr>
            <w:bookmarkStart w:id="75" w:name="_Toc202257800"/>
            <w:r w:rsidRPr="0073029B">
              <w:rPr>
                <w:rFonts w:cs="Tahoma"/>
                <w:b/>
                <w:lang w:eastAsia="es-CR"/>
              </w:rPr>
              <w:t>A.7.1.2 Cantidad de organizaciones criminales dedicadas al tráfico nacional de drogas ilícitas que han sido debilitadas, destruidas, desestabilizadas o eliminadas de forma total o parcial mediante las investigaciones y operaciones policiales desarrolladas por la Policía de Control de Drogas (PCD).</w:t>
            </w:r>
            <w:bookmarkEnd w:id="75"/>
          </w:p>
        </w:tc>
      </w:tr>
      <w:tr w:rsidR="003855FD" w:rsidRPr="0073029B" w14:paraId="371F0E47" w14:textId="77777777" w:rsidTr="004D2834">
        <w:trPr>
          <w:trHeight w:val="3588"/>
        </w:trPr>
        <w:tc>
          <w:tcPr>
            <w:tcW w:w="1354" w:type="pct"/>
            <w:gridSpan w:val="2"/>
            <w:shd w:val="clear" w:color="auto" w:fill="auto"/>
            <w:hideMark/>
          </w:tcPr>
          <w:p w14:paraId="75CB58F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646" w:type="pct"/>
            <w:shd w:val="clear" w:color="auto" w:fill="auto"/>
            <w:hideMark/>
          </w:tcPr>
          <w:p w14:paraId="15207DFB"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Una organización criminal se define como aquel grupo estructurado de dos o más personas que exista durante cierto tiempo y que actúa concertadamente con el propósito de cometer uno o más delitos graves (Art. 1, Ley 8754 contra La Delincuencia Organizada y artículo, artículo 9 Creación de la jurisdicción especializada en delincuencia organizada en Costa Rica </w:t>
            </w:r>
            <w:proofErr w:type="spellStart"/>
            <w:r w:rsidRPr="0073029B">
              <w:rPr>
                <w:rFonts w:eastAsia="Times New Roman" w:cs="Tahoma"/>
                <w:color w:val="000000"/>
                <w:szCs w:val="16"/>
                <w:lang w:eastAsia="es-CR"/>
              </w:rPr>
              <w:t>N°</w:t>
            </w:r>
            <w:proofErr w:type="spellEnd"/>
            <w:r w:rsidRPr="0073029B">
              <w:rPr>
                <w:rFonts w:eastAsia="Times New Roman" w:cs="Tahoma"/>
                <w:color w:val="000000"/>
                <w:szCs w:val="16"/>
                <w:lang w:eastAsia="es-CR"/>
              </w:rPr>
              <w:t xml:space="preserve"> 9481).</w:t>
            </w:r>
          </w:p>
          <w:p w14:paraId="1A8DCB0C"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Este tipo de investigaciones son excepcionales, que por su complejidad conllevan una duración más extensa, así como la utilización de gran cantidad de recursos, así como colaboración de dependencias policiales y de Inteligencia nacionales e internacionales.</w:t>
            </w:r>
          </w:p>
          <w:p w14:paraId="4CB33C10"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El tráfico nacional de drogas, se define como el delito consistente en la venta, compra, intercambio, trueque o cualquier tipo de suministro de drogas ilegales y/o sus precursores, cuyos efectos se produzcan dentro del territorio nacional.</w:t>
            </w:r>
          </w:p>
          <w:p w14:paraId="13140E34"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 xml:space="preserve">Una organización delictiva de carácter nacional, se define como aquella que opera en territorios determinados del país y en los cuales poseen control sobre estos, con el fin de traficar drogas en pequeña, mediana y gran escala dentro de su zona de operación, y dar una respuesta a la demanda de consumo, para esto poseen una estructura definida en la cual sus integrantes cumplen con diferentes roles y funciones como bodegaje de droga y dinero, expendio de estupefacientes, reclutamiento de personal encargado de realizar diversas actividades delictivas dentro de la organización criminal, entre otros (artículo 58 de la Reforma integral Ley sobre estupefacientes, sustancias psicotrópicas, drogas de uso no autorizado, actividades conexas, legitimación de capitales y financiamiento al terrorismo </w:t>
            </w:r>
            <w:proofErr w:type="spellStart"/>
            <w:r w:rsidRPr="0073029B">
              <w:rPr>
                <w:rFonts w:eastAsia="Times New Roman" w:cs="Tahoma"/>
                <w:color w:val="000000"/>
                <w:szCs w:val="16"/>
                <w:lang w:eastAsia="es-CR"/>
              </w:rPr>
              <w:t>Nº</w:t>
            </w:r>
            <w:proofErr w:type="spellEnd"/>
            <w:r w:rsidRPr="0073029B">
              <w:rPr>
                <w:rFonts w:eastAsia="Times New Roman" w:cs="Tahoma"/>
                <w:color w:val="000000"/>
                <w:szCs w:val="16"/>
                <w:lang w:eastAsia="es-CR"/>
              </w:rPr>
              <w:t xml:space="preserve"> 8204 ), todas con el fin de poder cometer el ilícito.</w:t>
            </w:r>
          </w:p>
          <w:p w14:paraId="037192F2"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Desarticular: Es toda acción enfocada en debilitar, destruir, desestabilizar y eliminar de forma total o parcial una organización dedicada a cometer Delitos.</w:t>
            </w:r>
          </w:p>
        </w:tc>
      </w:tr>
      <w:tr w:rsidR="003855FD" w:rsidRPr="0073029B" w14:paraId="2F90456E" w14:textId="77777777" w:rsidTr="004D2834">
        <w:trPr>
          <w:trHeight w:val="480"/>
        </w:trPr>
        <w:tc>
          <w:tcPr>
            <w:tcW w:w="1354" w:type="pct"/>
            <w:gridSpan w:val="2"/>
            <w:shd w:val="clear" w:color="auto" w:fill="auto"/>
            <w:hideMark/>
          </w:tcPr>
          <w:p w14:paraId="3D7394C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646" w:type="pct"/>
            <w:shd w:val="clear" w:color="auto" w:fill="auto"/>
            <w:hideMark/>
          </w:tcPr>
          <w:p w14:paraId="161E9D96"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Sumatoria de todas las organizaciones criminales dedicadas al tráfico nacional de drogas ilícitas que han sido debilitadas, destruidas, desestabilizadas o eliminadas de forma total o parcial.</w:t>
            </w:r>
          </w:p>
        </w:tc>
      </w:tr>
      <w:tr w:rsidR="003855FD" w:rsidRPr="0073029B" w14:paraId="59E08594" w14:textId="77777777" w:rsidTr="004D2834">
        <w:trPr>
          <w:trHeight w:val="468"/>
        </w:trPr>
        <w:tc>
          <w:tcPr>
            <w:tcW w:w="1354" w:type="pct"/>
            <w:gridSpan w:val="2"/>
            <w:shd w:val="clear" w:color="auto" w:fill="auto"/>
            <w:hideMark/>
          </w:tcPr>
          <w:p w14:paraId="4CC460C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646" w:type="pct"/>
            <w:shd w:val="clear" w:color="auto" w:fill="auto"/>
            <w:hideMark/>
          </w:tcPr>
          <w:p w14:paraId="24C2A27E"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Organizaciones criminales dedicadas al tráfico nacional de drogas ilícitas que han sido debilitadas, destruidas, desestabilizadas o eliminadas de forma total o parcial.</w:t>
            </w:r>
          </w:p>
        </w:tc>
      </w:tr>
      <w:tr w:rsidR="003855FD" w:rsidRPr="0073029B" w14:paraId="770EC446" w14:textId="77777777" w:rsidTr="004D2834">
        <w:trPr>
          <w:trHeight w:val="276"/>
        </w:trPr>
        <w:tc>
          <w:tcPr>
            <w:tcW w:w="1354" w:type="pct"/>
            <w:gridSpan w:val="2"/>
            <w:shd w:val="clear" w:color="auto" w:fill="auto"/>
            <w:hideMark/>
          </w:tcPr>
          <w:p w14:paraId="1571556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646" w:type="pct"/>
            <w:shd w:val="clear" w:color="auto" w:fill="auto"/>
            <w:hideMark/>
          </w:tcPr>
          <w:p w14:paraId="37E5698B"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Número</w:t>
            </w:r>
          </w:p>
        </w:tc>
      </w:tr>
      <w:tr w:rsidR="003855FD" w:rsidRPr="0073029B" w14:paraId="5F8C7365" w14:textId="77777777" w:rsidTr="004D2834">
        <w:trPr>
          <w:trHeight w:val="421"/>
        </w:trPr>
        <w:tc>
          <w:tcPr>
            <w:tcW w:w="1354" w:type="pct"/>
            <w:gridSpan w:val="2"/>
            <w:shd w:val="clear" w:color="auto" w:fill="auto"/>
            <w:hideMark/>
          </w:tcPr>
          <w:p w14:paraId="0C8C95E9"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646" w:type="pct"/>
            <w:shd w:val="clear" w:color="auto" w:fill="auto"/>
            <w:hideMark/>
          </w:tcPr>
          <w:p w14:paraId="085FD574"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"X" organizaciones criminales dedicadas al tráfico nacional de drogas ilícitas que han sido debilitadas, destruidas, desestabilizadas o eliminadas de forma total o parcial mediante las investigaciones y operaciones policiales desarrolladas por la Policía de Control de Drogas.</w:t>
            </w:r>
          </w:p>
        </w:tc>
      </w:tr>
      <w:tr w:rsidR="003855FD" w:rsidRPr="0073029B" w14:paraId="7B768AD2" w14:textId="77777777" w:rsidTr="004D2834">
        <w:trPr>
          <w:trHeight w:val="288"/>
        </w:trPr>
        <w:tc>
          <w:tcPr>
            <w:tcW w:w="735" w:type="pct"/>
            <w:vMerge w:val="restart"/>
            <w:shd w:val="clear" w:color="auto" w:fill="auto"/>
            <w:hideMark/>
          </w:tcPr>
          <w:p w14:paraId="2A33C2A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19" w:type="pct"/>
            <w:shd w:val="clear" w:color="auto" w:fill="auto"/>
            <w:hideMark/>
          </w:tcPr>
          <w:p w14:paraId="1EBE8BA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646" w:type="pct"/>
            <w:shd w:val="clear" w:color="auto" w:fill="auto"/>
            <w:hideMark/>
          </w:tcPr>
          <w:p w14:paraId="0EFF83F8"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w:t>
            </w:r>
          </w:p>
        </w:tc>
      </w:tr>
      <w:tr w:rsidR="003855FD" w:rsidRPr="0073029B" w14:paraId="3F107E87" w14:textId="77777777" w:rsidTr="004D2834">
        <w:trPr>
          <w:trHeight w:val="300"/>
        </w:trPr>
        <w:tc>
          <w:tcPr>
            <w:tcW w:w="735" w:type="pct"/>
            <w:vMerge/>
            <w:vAlign w:val="center"/>
            <w:hideMark/>
          </w:tcPr>
          <w:p w14:paraId="0DB8904E" w14:textId="77777777" w:rsidR="003855FD" w:rsidRPr="0073029B" w:rsidRDefault="003855FD" w:rsidP="004D2834">
            <w:pPr>
              <w:spacing w:after="0" w:line="240" w:lineRule="auto"/>
              <w:rPr>
                <w:rFonts w:eastAsia="Times New Roman" w:cs="Tahoma"/>
                <w:b/>
                <w:bCs/>
                <w:color w:val="000000"/>
                <w:szCs w:val="16"/>
                <w:lang w:eastAsia="es-CR"/>
              </w:rPr>
            </w:pPr>
          </w:p>
        </w:tc>
        <w:tc>
          <w:tcPr>
            <w:tcW w:w="619" w:type="pct"/>
            <w:shd w:val="clear" w:color="auto" w:fill="auto"/>
            <w:hideMark/>
          </w:tcPr>
          <w:p w14:paraId="7C84B71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646" w:type="pct"/>
            <w:shd w:val="clear" w:color="auto" w:fill="auto"/>
            <w:hideMark/>
          </w:tcPr>
          <w:p w14:paraId="0A717E8C"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Crimen organizado</w:t>
            </w:r>
          </w:p>
        </w:tc>
      </w:tr>
      <w:tr w:rsidR="003855FD" w:rsidRPr="0073029B" w14:paraId="17CF4CEF" w14:textId="77777777" w:rsidTr="004D2834">
        <w:trPr>
          <w:trHeight w:val="288"/>
        </w:trPr>
        <w:tc>
          <w:tcPr>
            <w:tcW w:w="1354" w:type="pct"/>
            <w:gridSpan w:val="2"/>
            <w:shd w:val="clear" w:color="auto" w:fill="auto"/>
            <w:hideMark/>
          </w:tcPr>
          <w:p w14:paraId="76D2C75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646" w:type="pct"/>
            <w:shd w:val="clear" w:color="auto" w:fill="auto"/>
            <w:hideMark/>
          </w:tcPr>
          <w:p w14:paraId="0F35A388"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120</w:t>
            </w:r>
          </w:p>
        </w:tc>
      </w:tr>
      <w:tr w:rsidR="003855FD" w:rsidRPr="0073029B" w14:paraId="11F4A9DB" w14:textId="77777777" w:rsidTr="004D2834">
        <w:trPr>
          <w:trHeight w:val="1212"/>
        </w:trPr>
        <w:tc>
          <w:tcPr>
            <w:tcW w:w="1354" w:type="pct"/>
            <w:gridSpan w:val="2"/>
            <w:shd w:val="clear" w:color="auto" w:fill="auto"/>
            <w:hideMark/>
          </w:tcPr>
          <w:p w14:paraId="06C72CF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646" w:type="pct"/>
            <w:shd w:val="clear" w:color="auto" w:fill="auto"/>
            <w:hideMark/>
          </w:tcPr>
          <w:p w14:paraId="2214C5C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300</w:t>
            </w:r>
            <w:r w:rsidRPr="0073029B">
              <w:rPr>
                <w:rFonts w:eastAsia="Times New Roman" w:cs="Tahoma"/>
                <w:color w:val="000000"/>
                <w:szCs w:val="16"/>
                <w:lang w:eastAsia="es-CR"/>
              </w:rPr>
              <w:br/>
            </w:r>
            <w:r w:rsidRPr="0073029B">
              <w:rPr>
                <w:rFonts w:eastAsia="Times New Roman" w:cs="Tahoma"/>
                <w:color w:val="000000"/>
                <w:szCs w:val="16"/>
                <w:lang w:eastAsia="es-CR"/>
              </w:rPr>
              <w:br/>
              <w:t>2023: 60</w:t>
            </w:r>
            <w:r w:rsidRPr="0073029B">
              <w:rPr>
                <w:rFonts w:eastAsia="Times New Roman" w:cs="Tahoma"/>
                <w:color w:val="000000"/>
                <w:szCs w:val="16"/>
                <w:lang w:eastAsia="es-CR"/>
              </w:rPr>
              <w:br/>
              <w:t>2024: 70</w:t>
            </w:r>
            <w:r w:rsidRPr="0073029B">
              <w:rPr>
                <w:rFonts w:eastAsia="Times New Roman" w:cs="Tahoma"/>
                <w:color w:val="000000"/>
                <w:szCs w:val="16"/>
                <w:lang w:eastAsia="es-CR"/>
              </w:rPr>
              <w:br/>
              <w:t>2025: 100</w:t>
            </w:r>
            <w:r w:rsidRPr="0073029B">
              <w:rPr>
                <w:rFonts w:eastAsia="Times New Roman" w:cs="Tahoma"/>
                <w:color w:val="000000"/>
                <w:szCs w:val="16"/>
                <w:lang w:eastAsia="es-CR"/>
              </w:rPr>
              <w:br/>
              <w:t>2026: 110</w:t>
            </w:r>
          </w:p>
        </w:tc>
      </w:tr>
      <w:tr w:rsidR="003855FD" w:rsidRPr="0073029B" w14:paraId="2C45937B" w14:textId="77777777" w:rsidTr="004D2834">
        <w:trPr>
          <w:trHeight w:val="420"/>
        </w:trPr>
        <w:tc>
          <w:tcPr>
            <w:tcW w:w="1354" w:type="pct"/>
            <w:gridSpan w:val="2"/>
            <w:shd w:val="clear" w:color="auto" w:fill="auto"/>
            <w:hideMark/>
          </w:tcPr>
          <w:p w14:paraId="7224F75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 seguimiento</w:t>
            </w:r>
          </w:p>
        </w:tc>
        <w:tc>
          <w:tcPr>
            <w:tcW w:w="3646" w:type="pct"/>
            <w:shd w:val="clear" w:color="auto" w:fill="auto"/>
            <w:hideMark/>
          </w:tcPr>
          <w:p w14:paraId="0F32D5E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Semestral y anual</w:t>
            </w:r>
          </w:p>
        </w:tc>
      </w:tr>
      <w:tr w:rsidR="003855FD" w:rsidRPr="0073029B" w14:paraId="579FC0AF" w14:textId="77777777" w:rsidTr="004D2834">
        <w:trPr>
          <w:trHeight w:val="540"/>
        </w:trPr>
        <w:tc>
          <w:tcPr>
            <w:tcW w:w="1354" w:type="pct"/>
            <w:gridSpan w:val="2"/>
            <w:shd w:val="clear" w:color="auto" w:fill="auto"/>
            <w:hideMark/>
          </w:tcPr>
          <w:p w14:paraId="043799D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646" w:type="pct"/>
            <w:shd w:val="clear" w:color="auto" w:fill="auto"/>
            <w:hideMark/>
          </w:tcPr>
          <w:p w14:paraId="6416BEB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Ministerio de Seguridad Pública, Policía Control de Drogas, Centro de Información Policial Antidrogas (CIPA), Información extraída de “HISTORICO PCD.xlsx”</w:t>
            </w:r>
          </w:p>
        </w:tc>
      </w:tr>
      <w:tr w:rsidR="003855FD" w:rsidRPr="0073029B" w14:paraId="41725419" w14:textId="77777777" w:rsidTr="004D2834">
        <w:trPr>
          <w:trHeight w:val="421"/>
        </w:trPr>
        <w:tc>
          <w:tcPr>
            <w:tcW w:w="1354" w:type="pct"/>
            <w:gridSpan w:val="2"/>
            <w:shd w:val="clear" w:color="auto" w:fill="auto"/>
            <w:hideMark/>
          </w:tcPr>
          <w:p w14:paraId="26AFCE9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646" w:type="pct"/>
            <w:shd w:val="clear" w:color="auto" w:fill="auto"/>
            <w:hideMark/>
          </w:tcPr>
          <w:p w14:paraId="41966375"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4FDFCC20" w14:textId="77777777" w:rsidTr="004D2834">
        <w:trPr>
          <w:trHeight w:val="552"/>
        </w:trPr>
        <w:tc>
          <w:tcPr>
            <w:tcW w:w="1354" w:type="pct"/>
            <w:gridSpan w:val="2"/>
            <w:shd w:val="clear" w:color="auto" w:fill="auto"/>
            <w:hideMark/>
          </w:tcPr>
          <w:p w14:paraId="5A111FB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Tipo de operación estadística</w:t>
            </w:r>
          </w:p>
        </w:tc>
        <w:tc>
          <w:tcPr>
            <w:tcW w:w="3646" w:type="pct"/>
            <w:shd w:val="clear" w:color="auto" w:fill="auto"/>
            <w:hideMark/>
          </w:tcPr>
          <w:p w14:paraId="5DF9B69F"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Registro Administrativo de organizaciones criminales nacionales desarticuladas, que han sido debilitadas, destruidas, desestabilizadas o eliminadas de forma total o parcial.</w:t>
            </w:r>
          </w:p>
        </w:tc>
      </w:tr>
      <w:tr w:rsidR="003855FD" w:rsidRPr="0073029B" w14:paraId="5BA0B707" w14:textId="77777777" w:rsidTr="004D2834">
        <w:trPr>
          <w:trHeight w:val="432"/>
        </w:trPr>
        <w:tc>
          <w:tcPr>
            <w:tcW w:w="1354" w:type="pct"/>
            <w:gridSpan w:val="2"/>
            <w:shd w:val="clear" w:color="auto" w:fill="auto"/>
            <w:hideMark/>
          </w:tcPr>
          <w:p w14:paraId="57A6C3B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 Sostenible (ODS) vinculado</w:t>
            </w:r>
          </w:p>
        </w:tc>
        <w:tc>
          <w:tcPr>
            <w:tcW w:w="3646" w:type="pct"/>
            <w:shd w:val="clear" w:color="auto" w:fill="auto"/>
            <w:hideMark/>
          </w:tcPr>
          <w:p w14:paraId="33AF0006"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16: 16.1.1, 16.4.2</w:t>
            </w:r>
          </w:p>
        </w:tc>
      </w:tr>
      <w:tr w:rsidR="003855FD" w:rsidRPr="0073029B" w14:paraId="2AAE4B5E" w14:textId="77777777" w:rsidTr="004D2834">
        <w:trPr>
          <w:trHeight w:val="432"/>
        </w:trPr>
        <w:tc>
          <w:tcPr>
            <w:tcW w:w="1354" w:type="pct"/>
            <w:gridSpan w:val="2"/>
            <w:shd w:val="clear" w:color="auto" w:fill="auto"/>
            <w:hideMark/>
          </w:tcPr>
          <w:p w14:paraId="3F9A610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646" w:type="pct"/>
            <w:shd w:val="clear" w:color="auto" w:fill="auto"/>
            <w:hideMark/>
          </w:tcPr>
          <w:p w14:paraId="20885EEC"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 Indirecta</w:t>
            </w:r>
          </w:p>
        </w:tc>
      </w:tr>
      <w:tr w:rsidR="003855FD" w:rsidRPr="0073029B" w14:paraId="4768C659" w14:textId="77777777" w:rsidTr="004D2834">
        <w:trPr>
          <w:trHeight w:val="432"/>
        </w:trPr>
        <w:tc>
          <w:tcPr>
            <w:tcW w:w="1354" w:type="pct"/>
            <w:gridSpan w:val="2"/>
            <w:shd w:val="clear" w:color="auto" w:fill="auto"/>
            <w:hideMark/>
          </w:tcPr>
          <w:p w14:paraId="7B8E217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 de Montevideo</w:t>
            </w:r>
          </w:p>
        </w:tc>
        <w:tc>
          <w:tcPr>
            <w:tcW w:w="3646" w:type="pct"/>
            <w:shd w:val="clear" w:color="auto" w:fill="auto"/>
            <w:hideMark/>
          </w:tcPr>
          <w:p w14:paraId="16A808D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 1 y 4.</w:t>
            </w:r>
          </w:p>
        </w:tc>
      </w:tr>
      <w:tr w:rsidR="003855FD" w:rsidRPr="0073029B" w14:paraId="7626D678" w14:textId="77777777" w:rsidTr="004D2834">
        <w:trPr>
          <w:trHeight w:val="363"/>
        </w:trPr>
        <w:tc>
          <w:tcPr>
            <w:tcW w:w="1354" w:type="pct"/>
            <w:gridSpan w:val="2"/>
            <w:shd w:val="clear" w:color="auto" w:fill="auto"/>
            <w:hideMark/>
          </w:tcPr>
          <w:p w14:paraId="198E29C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 Desarrollo</w:t>
            </w:r>
          </w:p>
        </w:tc>
        <w:tc>
          <w:tcPr>
            <w:tcW w:w="3646" w:type="pct"/>
            <w:shd w:val="clear" w:color="auto" w:fill="auto"/>
            <w:hideMark/>
          </w:tcPr>
          <w:p w14:paraId="7DE5DB9B"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PRD Huetar Caribe: 5.1.1</w:t>
            </w:r>
          </w:p>
        </w:tc>
      </w:tr>
      <w:tr w:rsidR="003855FD" w:rsidRPr="0073029B" w14:paraId="53EA7C60" w14:textId="77777777" w:rsidTr="004D2834">
        <w:trPr>
          <w:trHeight w:val="2652"/>
        </w:trPr>
        <w:tc>
          <w:tcPr>
            <w:tcW w:w="1354" w:type="pct"/>
            <w:gridSpan w:val="2"/>
            <w:shd w:val="clear" w:color="auto" w:fill="auto"/>
            <w:hideMark/>
          </w:tcPr>
          <w:p w14:paraId="4AFEC1E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646" w:type="pct"/>
            <w:shd w:val="clear" w:color="auto" w:fill="auto"/>
            <w:hideMark/>
          </w:tcPr>
          <w:p w14:paraId="2A610AE4"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La Policía Control de Drogas direcciona, principalmente, sus esfuerzos a la lucha contra las principales organizaciones narcotraficantes y expendedores locales e internacionales que afectan las comunidades de nuestro país, por ello nuestra institución ha optado por adaptarse y evaluar los cambios que ha tenido el narcotráfico, con el fin de continuar minimizando la disponibilidad de drogas, así como minimizar la violencia y homicidios que se dan producto de las actividades relacionadas con tráfico de sustancias ilícitas.</w:t>
            </w:r>
          </w:p>
          <w:p w14:paraId="67EB961B"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Es importante acotar que los resultados obtenidos en toda investigación de la PCD (decomisos y detenidos) se contabilizan y se ingresan en nuestra estadística de forma separada. Durante el desarrollo de una investigación dirigida contra una Organización Criminal, se pueden presentar decomisos, operativos y detenciones que van a ser contabilizadas dentro de los resultados de dicho caso. No obstante, se puede presentar la necesidad operativa y por Dirección Funcional del Ministerio Público que deban desarrollarse de forma paralela investigaciones de un menor rango que fortalecen la persecución penal sobre esa organización; estas investigaciones de menor rango, si bien es cierto forman parte de la Organización que se investiga, los resultados de las mismas se contabilizan por separado; una vez finalizada la investigación compleja contra la Organización Criminal, se hace un recuento de todos los resultados que se dieron durante el desarrollo de la misma con el fin de realizar un análisis del impacto que se obtuvo en la investigación.</w:t>
            </w:r>
          </w:p>
        </w:tc>
      </w:tr>
      <w:tr w:rsidR="003855FD" w:rsidRPr="0073029B" w14:paraId="53DD12FE" w14:textId="77777777" w:rsidTr="004D2834">
        <w:trPr>
          <w:trHeight w:val="984"/>
        </w:trPr>
        <w:tc>
          <w:tcPr>
            <w:tcW w:w="1354" w:type="pct"/>
            <w:gridSpan w:val="2"/>
            <w:shd w:val="clear" w:color="auto" w:fill="003A70"/>
            <w:hideMark/>
          </w:tcPr>
          <w:p w14:paraId="65B23E4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646" w:type="pct"/>
            <w:shd w:val="clear" w:color="auto" w:fill="auto"/>
            <w:hideMark/>
          </w:tcPr>
          <w:p w14:paraId="020CD822"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 xml:space="preserve">2024: </w:t>
            </w:r>
            <w:r w:rsidRPr="0073029B">
              <w:rPr>
                <w:rFonts w:eastAsia="Times New Roman" w:cs="Tahoma"/>
                <w:color w:val="000000"/>
                <w:szCs w:val="16"/>
                <w:lang w:eastAsia="es-CR"/>
              </w:rPr>
              <w:t xml:space="preserve">Se modificó el nombre del indicador, la definición conceptual, la fórmula de cálculo, los componentes involucrados en la fórmula del cálculo, la interpretación, la desagregación temática, la fuente de información, el tipo de operación estadística, la vinculación con el Plan Regional de Desarrollo y los comentarios generales. Oficio de aprobación </w:t>
            </w:r>
            <w:bookmarkStart w:id="76" w:name="_Hlk191373103"/>
            <w:r w:rsidRPr="0073029B">
              <w:rPr>
                <w:rFonts w:eastAsia="Times New Roman" w:cs="Tahoma"/>
                <w:color w:val="000000"/>
                <w:szCs w:val="16"/>
                <w:lang w:eastAsia="es-CR"/>
              </w:rPr>
              <w:t>MIDEPLAN-DVM-OF-0063-2024</w:t>
            </w:r>
            <w:bookmarkEnd w:id="76"/>
            <w:r w:rsidRPr="0073029B">
              <w:rPr>
                <w:rFonts w:eastAsia="Times New Roman" w:cs="Tahoma"/>
                <w:color w:val="000000"/>
                <w:szCs w:val="16"/>
                <w:lang w:eastAsia="es-CR"/>
              </w:rPr>
              <w:t xml:space="preserve"> (rige a partir de 2024).</w:t>
            </w:r>
          </w:p>
          <w:p w14:paraId="41CC40C1"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2025:</w:t>
            </w:r>
            <w:r w:rsidRPr="0073029B">
              <w:rPr>
                <w:rFonts w:eastAsia="Times New Roman" w:cs="Tahoma"/>
                <w:color w:val="000000"/>
                <w:szCs w:val="16"/>
                <w:lang w:eastAsia="es-CR"/>
              </w:rPr>
              <w:t xml:space="preserve"> Se modificó la meta. Oficio de aprobación CARTA-MIDEPLAN-DVM-0192-2025 (rige a partir de 2025).</w:t>
            </w:r>
          </w:p>
        </w:tc>
      </w:tr>
    </w:tbl>
    <w:p w14:paraId="632E73D0" w14:textId="77777777" w:rsidR="003855FD" w:rsidRPr="00FE6ADC" w:rsidRDefault="003855FD" w:rsidP="003855FD">
      <w:pPr>
        <w:pStyle w:val="Default"/>
        <w:rPr>
          <w:rFonts w:ascii="Tahoma" w:eastAsia="Arial Narrow" w:hAnsi="Tahoma" w:cs="Tahoma"/>
          <w:sz w:val="16"/>
          <w:szCs w:val="16"/>
        </w:rPr>
      </w:pPr>
      <w:r w:rsidRPr="00FE6ADC">
        <w:rPr>
          <w:rFonts w:ascii="Tahoma" w:eastAsia="Arial Narrow" w:hAnsi="Tahoma" w:cs="Tahoma"/>
          <w:sz w:val="16"/>
          <w:szCs w:val="16"/>
        </w:rPr>
        <w:t>Fuente: Dir</w:t>
      </w:r>
      <w:r w:rsidRPr="00FE6ADC">
        <w:rPr>
          <w:rFonts w:ascii="Tahoma" w:hAnsi="Tahoma" w:cs="Tahoma"/>
          <w:sz w:val="16"/>
          <w:szCs w:val="16"/>
        </w:rPr>
        <w:t>ección de la Policía Control de Drogas, Ministerio de Seguridad Pública.</w:t>
      </w:r>
    </w:p>
    <w:p w14:paraId="081DCEBA" w14:textId="77777777" w:rsidR="003855FD" w:rsidRPr="0073029B" w:rsidRDefault="003855FD" w:rsidP="003855FD">
      <w:pPr>
        <w:pStyle w:val="Default"/>
        <w:rPr>
          <w:rFonts w:ascii="Tahoma" w:eastAsia="Arial Narrow" w:hAnsi="Tahoma" w:cs="Tahoma"/>
          <w:sz w:val="16"/>
          <w:szCs w:val="16"/>
        </w:rPr>
      </w:pPr>
    </w:p>
    <w:bookmarkEnd w:id="70"/>
    <w:p w14:paraId="7A907914" w14:textId="77777777" w:rsidR="003855FD" w:rsidRPr="0073029B" w:rsidRDefault="003855FD" w:rsidP="003855FD">
      <w:pPr>
        <w:pStyle w:val="Default"/>
        <w:rPr>
          <w:rFonts w:ascii="Tahoma" w:eastAsia="Arial Narrow" w:hAnsi="Tahoma" w:cs="Tahoma"/>
          <w:sz w:val="16"/>
          <w:szCs w:val="16"/>
        </w:rPr>
      </w:pPr>
    </w:p>
    <w:p w14:paraId="1381E75C" w14:textId="77777777" w:rsidR="003855FD" w:rsidRPr="0073029B" w:rsidRDefault="003855FD" w:rsidP="003855FD">
      <w:pPr>
        <w:pStyle w:val="Default"/>
        <w:rPr>
          <w:rFonts w:ascii="Tahoma" w:eastAsia="Arial Narrow" w:hAnsi="Tahoma" w:cs="Tahoma"/>
          <w:sz w:val="16"/>
          <w:szCs w:val="16"/>
        </w:rPr>
      </w:pPr>
    </w:p>
    <w:p w14:paraId="799567E5" w14:textId="77777777" w:rsidR="003855FD" w:rsidRPr="0073029B" w:rsidRDefault="003855FD" w:rsidP="003855FD">
      <w:pPr>
        <w:pStyle w:val="Default"/>
        <w:rPr>
          <w:rFonts w:ascii="Tahoma" w:eastAsia="Arial Narrow" w:hAnsi="Tahoma" w:cs="Tahoma"/>
          <w:sz w:val="16"/>
          <w:szCs w:val="16"/>
        </w:rPr>
      </w:pPr>
    </w:p>
    <w:p w14:paraId="73BFB439" w14:textId="77777777" w:rsidR="003855FD" w:rsidRPr="0073029B" w:rsidRDefault="003855FD" w:rsidP="003855FD">
      <w:pPr>
        <w:pStyle w:val="Default"/>
        <w:rPr>
          <w:rFonts w:ascii="Tahoma" w:eastAsia="Arial Narrow" w:hAnsi="Tahoma" w:cs="Tahoma"/>
          <w:sz w:val="16"/>
          <w:szCs w:val="16"/>
        </w:rPr>
      </w:pPr>
    </w:p>
    <w:p w14:paraId="1C71EE9D" w14:textId="77777777" w:rsidR="003855FD" w:rsidRPr="0073029B" w:rsidRDefault="003855FD" w:rsidP="003855FD">
      <w:pPr>
        <w:pStyle w:val="Default"/>
        <w:rPr>
          <w:rFonts w:ascii="Tahoma" w:eastAsia="Arial Narrow" w:hAnsi="Tahoma" w:cs="Tahoma"/>
          <w:sz w:val="16"/>
          <w:szCs w:val="16"/>
        </w:rPr>
      </w:pPr>
    </w:p>
    <w:p w14:paraId="59DBB2E8" w14:textId="77777777" w:rsidR="003855FD" w:rsidRPr="0073029B" w:rsidRDefault="003855FD" w:rsidP="003855FD">
      <w:pPr>
        <w:pStyle w:val="Default"/>
        <w:rPr>
          <w:rFonts w:ascii="Tahoma" w:eastAsia="Arial Narrow" w:hAnsi="Tahoma" w:cs="Tahoma"/>
          <w:sz w:val="16"/>
          <w:szCs w:val="16"/>
        </w:rPr>
      </w:pPr>
    </w:p>
    <w:p w14:paraId="5C6B5F1F" w14:textId="77777777" w:rsidR="003855FD" w:rsidRPr="0073029B" w:rsidRDefault="003855FD" w:rsidP="003855FD">
      <w:pPr>
        <w:pStyle w:val="Default"/>
        <w:rPr>
          <w:rFonts w:ascii="Tahoma" w:eastAsia="Arial Narrow" w:hAnsi="Tahoma" w:cs="Tahoma"/>
          <w:sz w:val="16"/>
          <w:szCs w:val="16"/>
        </w:rPr>
      </w:pPr>
    </w:p>
    <w:p w14:paraId="1E2D173C" w14:textId="77777777" w:rsidR="003855FD" w:rsidRPr="0073029B" w:rsidRDefault="003855FD" w:rsidP="003855FD">
      <w:pPr>
        <w:pStyle w:val="Default"/>
        <w:rPr>
          <w:rFonts w:ascii="Tahoma" w:eastAsia="Arial Narrow" w:hAnsi="Tahoma" w:cs="Tahoma"/>
          <w:sz w:val="16"/>
          <w:szCs w:val="16"/>
        </w:rPr>
      </w:pPr>
    </w:p>
    <w:p w14:paraId="42E10CA6" w14:textId="77777777" w:rsidR="003855FD" w:rsidRPr="0073029B" w:rsidRDefault="003855FD" w:rsidP="003855FD">
      <w:pPr>
        <w:pStyle w:val="Default"/>
        <w:rPr>
          <w:rFonts w:ascii="Tahoma" w:eastAsia="Arial Narrow" w:hAnsi="Tahoma" w:cs="Tahoma"/>
          <w:sz w:val="16"/>
          <w:szCs w:val="16"/>
        </w:rPr>
      </w:pPr>
    </w:p>
    <w:p w14:paraId="4EAF0A74" w14:textId="77777777" w:rsidR="003855FD" w:rsidRPr="0073029B" w:rsidRDefault="003855FD" w:rsidP="003855FD">
      <w:pPr>
        <w:pStyle w:val="Default"/>
        <w:rPr>
          <w:rFonts w:ascii="Tahoma" w:eastAsia="Arial Narrow" w:hAnsi="Tahoma" w:cs="Tahoma"/>
          <w:sz w:val="16"/>
          <w:szCs w:val="16"/>
        </w:rPr>
      </w:pPr>
    </w:p>
    <w:p w14:paraId="2C30EF4A" w14:textId="77777777" w:rsidR="003855FD" w:rsidRPr="0073029B" w:rsidRDefault="003855FD" w:rsidP="003855FD">
      <w:pPr>
        <w:pStyle w:val="Default"/>
        <w:rPr>
          <w:rFonts w:ascii="Tahoma" w:eastAsia="Arial Narrow" w:hAnsi="Tahoma" w:cs="Tahoma"/>
          <w:sz w:val="16"/>
          <w:szCs w:val="16"/>
        </w:rPr>
      </w:pPr>
    </w:p>
    <w:p w14:paraId="6C58B9FB" w14:textId="77777777" w:rsidR="003855FD" w:rsidRPr="0073029B" w:rsidRDefault="003855FD" w:rsidP="003855FD">
      <w:pPr>
        <w:pStyle w:val="Default"/>
        <w:rPr>
          <w:rFonts w:ascii="Tahoma" w:eastAsia="Arial Narrow" w:hAnsi="Tahoma" w:cs="Tahoma"/>
          <w:sz w:val="16"/>
          <w:szCs w:val="16"/>
        </w:rPr>
      </w:pPr>
    </w:p>
    <w:p w14:paraId="22E3B2B1" w14:textId="77777777" w:rsidR="003855FD" w:rsidRPr="0073029B" w:rsidRDefault="003855FD" w:rsidP="003855FD">
      <w:pPr>
        <w:pStyle w:val="Default"/>
        <w:rPr>
          <w:rFonts w:ascii="Tahoma" w:eastAsia="Arial Narrow" w:hAnsi="Tahoma" w:cs="Tahoma"/>
          <w:sz w:val="16"/>
          <w:szCs w:val="16"/>
        </w:rPr>
      </w:pPr>
      <w:r w:rsidRPr="0073029B">
        <w:rPr>
          <w:rFonts w:ascii="Tahoma" w:eastAsia="Arial Narrow" w:hAnsi="Tahoma" w:cs="Tahoma"/>
          <w:sz w:val="16"/>
          <w:szCs w:val="16"/>
        </w:rPr>
        <w:t xml:space="preserve"> </w:t>
      </w:r>
    </w:p>
    <w:p w14:paraId="144B0858" w14:textId="77777777" w:rsidR="003855FD" w:rsidRPr="0073029B" w:rsidRDefault="003855FD" w:rsidP="003855FD">
      <w:pPr>
        <w:pStyle w:val="Default"/>
        <w:rPr>
          <w:rFonts w:ascii="Tahoma" w:eastAsia="Arial Narrow" w:hAnsi="Tahoma" w:cs="Tahoma"/>
          <w:sz w:val="16"/>
          <w:szCs w:val="16"/>
        </w:rPr>
      </w:pPr>
    </w:p>
    <w:p w14:paraId="1D8BDBDB" w14:textId="77777777" w:rsidR="003855FD" w:rsidRPr="0073029B" w:rsidRDefault="003855FD" w:rsidP="003855FD">
      <w:pPr>
        <w:pStyle w:val="Default"/>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6"/>
        <w:gridCol w:w="1210"/>
        <w:gridCol w:w="6677"/>
      </w:tblGrid>
      <w:tr w:rsidR="003855FD" w:rsidRPr="0073029B" w14:paraId="7A17E13B" w14:textId="77777777" w:rsidTr="004D2834">
        <w:trPr>
          <w:trHeight w:val="228"/>
          <w:tblHeader/>
        </w:trPr>
        <w:tc>
          <w:tcPr>
            <w:tcW w:w="1419" w:type="pct"/>
            <w:gridSpan w:val="2"/>
            <w:shd w:val="clear" w:color="auto" w:fill="003A70"/>
            <w:hideMark/>
          </w:tcPr>
          <w:p w14:paraId="197E29C4"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bookmarkStart w:id="77" w:name="_Hlk191369816"/>
            <w:r w:rsidRPr="0073029B">
              <w:rPr>
                <w:rFonts w:eastAsia="Times New Roman" w:cs="Tahoma"/>
                <w:b/>
                <w:bCs/>
                <w:color w:val="FFFFFF" w:themeColor="background1"/>
                <w:szCs w:val="16"/>
                <w:lang w:eastAsia="es-CR"/>
              </w:rPr>
              <w:lastRenderedPageBreak/>
              <w:t>Indicador</w:t>
            </w:r>
          </w:p>
        </w:tc>
        <w:tc>
          <w:tcPr>
            <w:tcW w:w="3581" w:type="pct"/>
            <w:shd w:val="clear" w:color="auto" w:fill="003A70"/>
            <w:hideMark/>
          </w:tcPr>
          <w:p w14:paraId="18150971"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A.7.1.3</w:t>
            </w:r>
          </w:p>
        </w:tc>
      </w:tr>
      <w:tr w:rsidR="003855FD" w:rsidRPr="0073029B" w14:paraId="78C6A7F2" w14:textId="77777777" w:rsidTr="004D2834">
        <w:trPr>
          <w:trHeight w:val="288"/>
          <w:tblHeader/>
        </w:trPr>
        <w:tc>
          <w:tcPr>
            <w:tcW w:w="1419" w:type="pct"/>
            <w:gridSpan w:val="2"/>
            <w:shd w:val="clear" w:color="000000" w:fill="D9D9D9"/>
            <w:vAlign w:val="center"/>
            <w:hideMark/>
          </w:tcPr>
          <w:p w14:paraId="01288295"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81" w:type="pct"/>
            <w:shd w:val="clear" w:color="000000" w:fill="D9D9D9"/>
            <w:vAlign w:val="center"/>
            <w:hideMark/>
          </w:tcPr>
          <w:p w14:paraId="0A264235"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2B18C44B" w14:textId="77777777" w:rsidTr="004D2834">
        <w:trPr>
          <w:trHeight w:val="648"/>
        </w:trPr>
        <w:tc>
          <w:tcPr>
            <w:tcW w:w="1419" w:type="pct"/>
            <w:gridSpan w:val="2"/>
            <w:shd w:val="clear" w:color="auto" w:fill="003A70"/>
            <w:hideMark/>
          </w:tcPr>
          <w:p w14:paraId="7825D932"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581" w:type="pct"/>
            <w:shd w:val="clear" w:color="auto" w:fill="003A70"/>
            <w:hideMark/>
          </w:tcPr>
          <w:p w14:paraId="5F0A5982" w14:textId="77777777" w:rsidR="003855FD" w:rsidRPr="0073029B" w:rsidRDefault="003855FD" w:rsidP="004D2834">
            <w:pPr>
              <w:spacing w:after="0"/>
              <w:jc w:val="both"/>
              <w:rPr>
                <w:rFonts w:cs="Tahoma"/>
                <w:b/>
                <w:lang w:eastAsia="es-CR"/>
              </w:rPr>
            </w:pPr>
            <w:bookmarkStart w:id="78" w:name="_Toc202257801"/>
            <w:r w:rsidRPr="0073029B">
              <w:rPr>
                <w:rFonts w:cs="Tahoma"/>
                <w:b/>
                <w:lang w:eastAsia="es-CR"/>
              </w:rPr>
              <w:t>A.7.1.3 Porcentaje acumulado de avance en las etapas y subetapas formulación, ejecución e implementación del Proyecto DNN: Un Esfuerzo Preventivo, de Prevención de Legitimación de Capitales, Financiamiento al Terrorismo y la Proliferación de Armas de Destrucción Masiva.</w:t>
            </w:r>
            <w:bookmarkEnd w:id="78"/>
          </w:p>
        </w:tc>
      </w:tr>
      <w:tr w:rsidR="003855FD" w:rsidRPr="0073029B" w14:paraId="2E6D5099" w14:textId="77777777" w:rsidTr="004D2834">
        <w:trPr>
          <w:trHeight w:val="3612"/>
        </w:trPr>
        <w:tc>
          <w:tcPr>
            <w:tcW w:w="1419" w:type="pct"/>
            <w:gridSpan w:val="2"/>
            <w:shd w:val="clear" w:color="auto" w:fill="auto"/>
            <w:hideMark/>
          </w:tcPr>
          <w:p w14:paraId="702F329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81" w:type="pct"/>
            <w:shd w:val="clear" w:color="auto" w:fill="auto"/>
            <w:hideMark/>
          </w:tcPr>
          <w:p w14:paraId="5DB466F4"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El Proyecto DNN: Un Esfuerzo Preventivo, está conformado por varias etapas para su ejecución con el que se pretende durante el periodo 2023-2026, fortalecer la acción del Estado, en la lucha contra la Legitimación de Capitales, financiamiento al terrorismo y la proliferación de armas de destrucción masiva. Este se operacionaliza a partir de una evaluación sectorial de riesgos de los notarios públicos, la implementación de un programa integral de sensibilización y capacitación sobre la temática, la implementación de un sistema de registro de operaciones sospechosas, y finalmente una metodología de evaluación de impactos a nivel país de las acciones implementadas.</w:t>
            </w:r>
          </w:p>
          <w:p w14:paraId="6CDE7CF9"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La legitimación de capitales claramente interviene en el sistema financiero del país, en el cual la figura del notario juega un rol protagónico, ya que hace posible, mediante el acto o contrato notarial, la legitimación de los bienes y fondos, esto al ser profesionales que cuentan con fe pública.</w:t>
            </w:r>
            <w:r w:rsidRPr="0073029B">
              <w:rPr>
                <w:rFonts w:eastAsia="Times New Roman" w:cs="Tahoma"/>
                <w:color w:val="000000"/>
                <w:szCs w:val="16"/>
                <w:lang w:eastAsia="es-CR"/>
              </w:rPr>
              <w:br/>
            </w:r>
            <w:r w:rsidRPr="0073029B">
              <w:rPr>
                <w:rFonts w:eastAsia="Times New Roman" w:cs="Tahoma"/>
                <w:color w:val="000000"/>
                <w:szCs w:val="16"/>
                <w:lang w:eastAsia="es-CR"/>
              </w:rPr>
              <w:br/>
              <w:t>Los grupos organizados de criminalización se han desarrollado rápidamente en estructura, organización y capital, en tanto las instituciones estatales, llamadas a combatir esta problemática, cuentan con grandes dificultades presupuestarias, tecnológicas y de capital humano. La DNN, no solo se convierte en un responsable legal de la fiscalización notarial, sino está llamado a promover una cultura de prevención a nivel nacional que facilite el acceso a la información a la ciudadanía, acompañado de procesos internos efectivos de sensibilización, capacitación, control, fiscalización de los profesionales que ejercen el notariado en el país, situación que da origen al establecimiento de una Estrategia de Lucha contra el crimen organizado denominado Proyecto DNN: Un Esfuerzo Preventivo de Legitimación de Capitales, Financiamiento al Terrorismo y la Proliferación de Armas de Destrucción Masiva.</w:t>
            </w:r>
          </w:p>
        </w:tc>
      </w:tr>
      <w:tr w:rsidR="003855FD" w:rsidRPr="0073029B" w14:paraId="438D7609" w14:textId="77777777" w:rsidTr="004D2834">
        <w:trPr>
          <w:trHeight w:val="288"/>
        </w:trPr>
        <w:tc>
          <w:tcPr>
            <w:tcW w:w="1419" w:type="pct"/>
            <w:gridSpan w:val="2"/>
            <w:shd w:val="clear" w:color="auto" w:fill="auto"/>
            <w:hideMark/>
          </w:tcPr>
          <w:p w14:paraId="32B9C60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 xml:space="preserve">Fórmula de cálculo </w:t>
            </w:r>
          </w:p>
        </w:tc>
        <w:tc>
          <w:tcPr>
            <w:tcW w:w="3581" w:type="pct"/>
            <w:shd w:val="clear" w:color="auto" w:fill="auto"/>
            <w:hideMark/>
          </w:tcPr>
          <w:p w14:paraId="1BEF39EA"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Sumatoria de avance porcentual de las subetapas ejecutadas</w:t>
            </w:r>
          </w:p>
        </w:tc>
      </w:tr>
      <w:tr w:rsidR="003855FD" w:rsidRPr="0073029B" w14:paraId="085711B3" w14:textId="77777777" w:rsidTr="004D2834">
        <w:trPr>
          <w:trHeight w:val="335"/>
        </w:trPr>
        <w:tc>
          <w:tcPr>
            <w:tcW w:w="1419" w:type="pct"/>
            <w:gridSpan w:val="2"/>
            <w:shd w:val="clear" w:color="auto" w:fill="auto"/>
            <w:hideMark/>
          </w:tcPr>
          <w:p w14:paraId="24F621A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581" w:type="pct"/>
            <w:shd w:val="clear" w:color="auto" w:fill="auto"/>
            <w:hideMark/>
          </w:tcPr>
          <w:p w14:paraId="11767444"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Porcentaje de cumplimiento de cada subetapa.</w:t>
            </w:r>
          </w:p>
        </w:tc>
      </w:tr>
      <w:tr w:rsidR="003855FD" w:rsidRPr="0073029B" w14:paraId="070A1E41" w14:textId="77777777" w:rsidTr="004D2834">
        <w:trPr>
          <w:trHeight w:val="276"/>
        </w:trPr>
        <w:tc>
          <w:tcPr>
            <w:tcW w:w="1419" w:type="pct"/>
            <w:gridSpan w:val="2"/>
            <w:shd w:val="clear" w:color="auto" w:fill="auto"/>
            <w:hideMark/>
          </w:tcPr>
          <w:p w14:paraId="0F4EADF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81" w:type="pct"/>
            <w:shd w:val="clear" w:color="auto" w:fill="auto"/>
            <w:hideMark/>
          </w:tcPr>
          <w:p w14:paraId="5874771B"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Porcentaje </w:t>
            </w:r>
          </w:p>
        </w:tc>
      </w:tr>
      <w:tr w:rsidR="003855FD" w:rsidRPr="0073029B" w14:paraId="2A29885B" w14:textId="77777777" w:rsidTr="004D2834">
        <w:trPr>
          <w:trHeight w:val="408"/>
        </w:trPr>
        <w:tc>
          <w:tcPr>
            <w:tcW w:w="1419" w:type="pct"/>
            <w:gridSpan w:val="2"/>
            <w:shd w:val="clear" w:color="auto" w:fill="auto"/>
            <w:hideMark/>
          </w:tcPr>
          <w:p w14:paraId="2A37561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81" w:type="pct"/>
            <w:shd w:val="clear" w:color="auto" w:fill="auto"/>
            <w:hideMark/>
          </w:tcPr>
          <w:p w14:paraId="27EF80B6"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Representa el porcentaje de avance en la formulación, ejecución e implementación de las diferentes etapas y sub etapas del proyecto DNN: Un Esfuerzo Preventivo para la prevención de Legitimación de Capitales, Financiamiento al Terrorismo y la Proliferación de armas de Destrucción Masiva.</w:t>
            </w:r>
          </w:p>
        </w:tc>
      </w:tr>
      <w:tr w:rsidR="003855FD" w:rsidRPr="0073029B" w14:paraId="14E2777D" w14:textId="77777777" w:rsidTr="004D2834">
        <w:trPr>
          <w:trHeight w:val="288"/>
        </w:trPr>
        <w:tc>
          <w:tcPr>
            <w:tcW w:w="770" w:type="pct"/>
            <w:vMerge w:val="restart"/>
            <w:shd w:val="clear" w:color="auto" w:fill="auto"/>
            <w:hideMark/>
          </w:tcPr>
          <w:p w14:paraId="1660D46B"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49" w:type="pct"/>
            <w:shd w:val="clear" w:color="auto" w:fill="auto"/>
            <w:hideMark/>
          </w:tcPr>
          <w:p w14:paraId="1BC1B9A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81" w:type="pct"/>
            <w:shd w:val="clear" w:color="auto" w:fill="auto"/>
            <w:hideMark/>
          </w:tcPr>
          <w:p w14:paraId="71FD138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w:t>
            </w:r>
          </w:p>
        </w:tc>
      </w:tr>
      <w:tr w:rsidR="003855FD" w:rsidRPr="0073029B" w14:paraId="5E0D5344" w14:textId="77777777" w:rsidTr="004D2834">
        <w:trPr>
          <w:trHeight w:val="288"/>
        </w:trPr>
        <w:tc>
          <w:tcPr>
            <w:tcW w:w="770" w:type="pct"/>
            <w:vMerge/>
            <w:vAlign w:val="center"/>
            <w:hideMark/>
          </w:tcPr>
          <w:p w14:paraId="4F0EA34B" w14:textId="77777777" w:rsidR="003855FD" w:rsidRPr="0073029B" w:rsidRDefault="003855FD" w:rsidP="004D2834">
            <w:pPr>
              <w:spacing w:after="0" w:line="240" w:lineRule="auto"/>
              <w:rPr>
                <w:rFonts w:eastAsia="Times New Roman" w:cs="Tahoma"/>
                <w:b/>
                <w:bCs/>
                <w:color w:val="000000"/>
                <w:szCs w:val="16"/>
                <w:lang w:eastAsia="es-CR"/>
              </w:rPr>
            </w:pPr>
          </w:p>
        </w:tc>
        <w:tc>
          <w:tcPr>
            <w:tcW w:w="649" w:type="pct"/>
            <w:shd w:val="clear" w:color="auto" w:fill="auto"/>
            <w:hideMark/>
          </w:tcPr>
          <w:p w14:paraId="7F9B468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81" w:type="pct"/>
            <w:shd w:val="clear" w:color="auto" w:fill="auto"/>
            <w:hideMark/>
          </w:tcPr>
          <w:p w14:paraId="02ED20BB"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Notarios públicos</w:t>
            </w:r>
          </w:p>
        </w:tc>
      </w:tr>
      <w:tr w:rsidR="003855FD" w:rsidRPr="0073029B" w14:paraId="2CD5CA53" w14:textId="77777777" w:rsidTr="004D2834">
        <w:trPr>
          <w:trHeight w:val="288"/>
        </w:trPr>
        <w:tc>
          <w:tcPr>
            <w:tcW w:w="1419" w:type="pct"/>
            <w:gridSpan w:val="2"/>
            <w:shd w:val="clear" w:color="auto" w:fill="auto"/>
            <w:hideMark/>
          </w:tcPr>
          <w:p w14:paraId="40402D6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581" w:type="pct"/>
            <w:shd w:val="clear" w:color="auto" w:fill="auto"/>
            <w:hideMark/>
          </w:tcPr>
          <w:p w14:paraId="791B7148"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ND</w:t>
            </w:r>
          </w:p>
        </w:tc>
      </w:tr>
      <w:tr w:rsidR="003855FD" w:rsidRPr="0073029B" w14:paraId="0D0DE228" w14:textId="77777777" w:rsidTr="004D2834">
        <w:trPr>
          <w:trHeight w:val="5592"/>
        </w:trPr>
        <w:tc>
          <w:tcPr>
            <w:tcW w:w="1419" w:type="pct"/>
            <w:gridSpan w:val="2"/>
            <w:shd w:val="clear" w:color="auto" w:fill="auto"/>
            <w:hideMark/>
          </w:tcPr>
          <w:p w14:paraId="20BF8CA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Meta</w:t>
            </w:r>
          </w:p>
        </w:tc>
        <w:tc>
          <w:tcPr>
            <w:tcW w:w="3581" w:type="pct"/>
            <w:shd w:val="clear" w:color="auto" w:fill="auto"/>
            <w:hideMark/>
          </w:tcPr>
          <w:p w14:paraId="6F84770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color w:val="000000"/>
                <w:szCs w:val="16"/>
                <w:lang w:eastAsia="es-CR"/>
              </w:rPr>
              <w:t>2023-2026: 100%</w:t>
            </w:r>
            <w:r w:rsidRPr="0073029B">
              <w:rPr>
                <w:rFonts w:eastAsia="Times New Roman" w:cs="Tahoma"/>
                <w:color w:val="000000"/>
                <w:szCs w:val="16"/>
                <w:lang w:eastAsia="es-CR"/>
              </w:rPr>
              <w:br/>
            </w:r>
            <w:r w:rsidRPr="0073029B">
              <w:rPr>
                <w:rFonts w:eastAsia="Times New Roman" w:cs="Tahoma"/>
                <w:color w:val="000000"/>
                <w:szCs w:val="16"/>
                <w:lang w:eastAsia="es-CR"/>
              </w:rPr>
              <w:br/>
              <w:t>2024: 40%</w:t>
            </w:r>
            <w:r w:rsidRPr="0073029B">
              <w:rPr>
                <w:rFonts w:eastAsia="Times New Roman" w:cs="Tahoma"/>
                <w:color w:val="000000"/>
                <w:szCs w:val="16"/>
                <w:lang w:eastAsia="es-CR"/>
              </w:rPr>
              <w:br/>
              <w:t>Etapa 1: Análisis de Riesgos para el Sector Notarial (20%)</w:t>
            </w:r>
            <w:r w:rsidRPr="0073029B">
              <w:rPr>
                <w:rFonts w:eastAsia="Times New Roman" w:cs="Tahoma"/>
                <w:color w:val="000000"/>
                <w:szCs w:val="16"/>
                <w:lang w:eastAsia="es-CR"/>
              </w:rPr>
              <w:br/>
              <w:t>Subetapa 1: Metodología para desarrollar el Análisis de Riesgos. (5%)</w:t>
            </w:r>
            <w:r w:rsidRPr="0073029B">
              <w:rPr>
                <w:rFonts w:eastAsia="Times New Roman" w:cs="Tahoma"/>
                <w:color w:val="000000"/>
                <w:szCs w:val="16"/>
                <w:lang w:eastAsia="es-CR"/>
              </w:rPr>
              <w:br/>
              <w:t>Subetapa 2: Diseño del Plan de trabajo para desarrollar el Análisis de Riesgos (5%)</w:t>
            </w:r>
            <w:r w:rsidRPr="0073029B">
              <w:rPr>
                <w:rFonts w:eastAsia="Times New Roman" w:cs="Tahoma"/>
                <w:color w:val="000000"/>
                <w:szCs w:val="16"/>
                <w:lang w:eastAsia="es-CR"/>
              </w:rPr>
              <w:br/>
              <w:t>Subetapa 3: Aplicación de instrumentos para recopilación de datos establecidos en el Plan de Trabajo (5%)</w:t>
            </w:r>
            <w:r w:rsidRPr="0073029B">
              <w:rPr>
                <w:rFonts w:eastAsia="Times New Roman" w:cs="Tahoma"/>
                <w:color w:val="000000"/>
                <w:szCs w:val="16"/>
                <w:lang w:eastAsia="es-CR"/>
              </w:rPr>
              <w:br/>
              <w:t>Subetapa 4: Implementación del Plan de Acción para la atención de riesgos en el Sector Notarial Costarricense (5%)</w:t>
            </w:r>
            <w:r w:rsidRPr="0073029B">
              <w:rPr>
                <w:rFonts w:eastAsia="Times New Roman" w:cs="Tahoma"/>
                <w:color w:val="000000"/>
                <w:szCs w:val="16"/>
                <w:lang w:eastAsia="es-CR"/>
              </w:rPr>
              <w:br/>
              <w:t>Etapa 2: Estrategia metodológica de sensibilización y capacitación (20%)</w:t>
            </w:r>
            <w:r w:rsidRPr="0073029B">
              <w:rPr>
                <w:rFonts w:eastAsia="Times New Roman" w:cs="Tahoma"/>
                <w:color w:val="000000"/>
                <w:szCs w:val="16"/>
                <w:lang w:eastAsia="es-CR"/>
              </w:rPr>
              <w:br/>
              <w:t>Subetapa 1: Diseño del Portafolio de riesgos a todo el sector notarial de Costa Rica (5%)</w:t>
            </w:r>
            <w:r w:rsidRPr="0073029B">
              <w:rPr>
                <w:rFonts w:eastAsia="Times New Roman" w:cs="Tahoma"/>
                <w:color w:val="000000"/>
                <w:szCs w:val="16"/>
                <w:lang w:eastAsia="es-CR"/>
              </w:rPr>
              <w:br/>
              <w:t>Subetapa 2: Diseño del Programa de capacitación en temas Legitimación de Capitales y Financiamiento al Terrorismo (10%)</w:t>
            </w:r>
            <w:r w:rsidRPr="0073029B">
              <w:rPr>
                <w:rFonts w:eastAsia="Times New Roman" w:cs="Tahoma"/>
                <w:color w:val="000000"/>
                <w:szCs w:val="16"/>
                <w:lang w:eastAsia="es-CR"/>
              </w:rPr>
              <w:br/>
              <w:t>Subetapa 3: Ejecución de la evaluación de la implementación del programa de capacitación (5%)</w:t>
            </w:r>
            <w:r w:rsidRPr="0073029B">
              <w:rPr>
                <w:rFonts w:eastAsia="Times New Roman" w:cs="Tahoma"/>
                <w:color w:val="000000"/>
                <w:szCs w:val="16"/>
                <w:lang w:eastAsia="es-CR"/>
              </w:rPr>
              <w:br/>
            </w:r>
            <w:r w:rsidRPr="0073029B">
              <w:rPr>
                <w:rFonts w:eastAsia="Times New Roman" w:cs="Tahoma"/>
                <w:b/>
                <w:bCs/>
                <w:color w:val="000000"/>
                <w:szCs w:val="16"/>
                <w:lang w:eastAsia="es-CR"/>
              </w:rPr>
              <w:t>Acumulado anual 40%</w:t>
            </w:r>
          </w:p>
          <w:p w14:paraId="47D63702"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br/>
              <w:t>2025: 30%</w:t>
            </w:r>
            <w:r w:rsidRPr="0073029B">
              <w:rPr>
                <w:rFonts w:eastAsia="Times New Roman" w:cs="Tahoma"/>
                <w:color w:val="000000"/>
                <w:szCs w:val="16"/>
                <w:lang w:eastAsia="es-CR"/>
              </w:rPr>
              <w:br/>
              <w:t>Etapa 2: Estrategia metodológica de sensibilización y capacitación (5%)</w:t>
            </w:r>
            <w:r w:rsidRPr="0073029B">
              <w:rPr>
                <w:rFonts w:eastAsia="Times New Roman" w:cs="Tahoma"/>
                <w:color w:val="000000"/>
                <w:szCs w:val="16"/>
                <w:lang w:eastAsia="es-CR"/>
              </w:rPr>
              <w:br/>
              <w:t>Subetapa 4: Ejecución de la evaluación de la implementación del programa de capacitación 2025 (5%)</w:t>
            </w:r>
            <w:r w:rsidRPr="0073029B">
              <w:rPr>
                <w:rFonts w:eastAsia="Times New Roman" w:cs="Tahoma"/>
                <w:color w:val="000000"/>
                <w:szCs w:val="16"/>
                <w:lang w:eastAsia="es-CR"/>
              </w:rPr>
              <w:br/>
              <w:t>Etapa 3: Establecimiento de un Reporte ALA/CFT Notarial (25%)</w:t>
            </w:r>
            <w:r w:rsidRPr="0073029B">
              <w:rPr>
                <w:rFonts w:eastAsia="Times New Roman" w:cs="Tahoma"/>
                <w:color w:val="000000"/>
                <w:szCs w:val="16"/>
                <w:lang w:eastAsia="es-CR"/>
              </w:rPr>
              <w:br/>
              <w:t>Subetapa 1: Formulación del Diagnóstico de situación de las necesidades institucionales (5%)</w:t>
            </w:r>
            <w:r w:rsidRPr="0073029B">
              <w:rPr>
                <w:rFonts w:eastAsia="Times New Roman" w:cs="Tahoma"/>
                <w:color w:val="000000"/>
                <w:szCs w:val="16"/>
                <w:lang w:eastAsia="es-CR"/>
              </w:rPr>
              <w:br/>
              <w:t>Subetapa 2: Formulación de los requerimientos para la implementación de Reporte ALA/CFT Notarial (5%)</w:t>
            </w:r>
            <w:r w:rsidRPr="0073029B">
              <w:rPr>
                <w:rFonts w:eastAsia="Times New Roman" w:cs="Tahoma"/>
                <w:color w:val="000000"/>
                <w:szCs w:val="16"/>
                <w:lang w:eastAsia="es-CR"/>
              </w:rPr>
              <w:br/>
              <w:t>Subetapa 3: Definición de mecanismos para la implementación del Reporte ALA/CFT Notarial (5%)</w:t>
            </w:r>
            <w:r w:rsidRPr="0073029B">
              <w:rPr>
                <w:rFonts w:eastAsia="Times New Roman" w:cs="Tahoma"/>
                <w:color w:val="000000"/>
                <w:szCs w:val="16"/>
                <w:lang w:eastAsia="es-CR"/>
              </w:rPr>
              <w:br/>
              <w:t xml:space="preserve">Subetapa 4: Implementación del Reporte Digital Notarial (5%) </w:t>
            </w:r>
          </w:p>
          <w:p w14:paraId="000912E2"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Subetapa 5: Ejecución de la puesta en producción del Reporte ALA/CFT Notarial (5%)</w:t>
            </w:r>
            <w:r w:rsidRPr="0073029B">
              <w:rPr>
                <w:rFonts w:eastAsia="Times New Roman" w:cs="Tahoma"/>
                <w:color w:val="000000"/>
                <w:szCs w:val="16"/>
                <w:lang w:eastAsia="es-CR"/>
              </w:rPr>
              <w:br/>
            </w:r>
            <w:r w:rsidRPr="0073029B">
              <w:rPr>
                <w:rFonts w:eastAsia="Times New Roman" w:cs="Tahoma"/>
                <w:b/>
                <w:bCs/>
                <w:color w:val="000000"/>
                <w:szCs w:val="16"/>
                <w:lang w:eastAsia="es-CR"/>
              </w:rPr>
              <w:t>Acumulado Anual: 70%</w:t>
            </w:r>
            <w:r w:rsidRPr="0073029B">
              <w:rPr>
                <w:rFonts w:eastAsia="Times New Roman" w:cs="Tahoma"/>
                <w:color w:val="000000"/>
                <w:szCs w:val="16"/>
                <w:lang w:eastAsia="es-CR"/>
              </w:rPr>
              <w:br/>
            </w:r>
            <w:r w:rsidRPr="0073029B">
              <w:rPr>
                <w:rFonts w:eastAsia="Times New Roman" w:cs="Tahoma"/>
                <w:color w:val="000000"/>
                <w:szCs w:val="16"/>
                <w:lang w:eastAsia="es-CR"/>
              </w:rPr>
              <w:br/>
              <w:t>2026: 30%</w:t>
            </w:r>
            <w:r w:rsidRPr="0073029B">
              <w:rPr>
                <w:rFonts w:eastAsia="Times New Roman" w:cs="Tahoma"/>
                <w:color w:val="000000"/>
                <w:szCs w:val="16"/>
                <w:lang w:eastAsia="es-CR"/>
              </w:rPr>
              <w:br/>
              <w:t>Etapa 2: Subetapa 5: Ejecución de la evaluación de la implementación del programa de capacitación 2024-2026. (5%)</w:t>
            </w:r>
            <w:r w:rsidRPr="0073029B">
              <w:rPr>
                <w:rFonts w:eastAsia="Times New Roman" w:cs="Tahoma"/>
                <w:color w:val="000000"/>
                <w:szCs w:val="16"/>
                <w:lang w:eastAsia="es-CR"/>
              </w:rPr>
              <w:br/>
              <w:t>Etapa 4: Plan para la implementación de una evaluación de impactos (25%)</w:t>
            </w:r>
            <w:r w:rsidRPr="0073029B">
              <w:rPr>
                <w:rFonts w:eastAsia="Times New Roman" w:cs="Tahoma"/>
                <w:color w:val="000000"/>
                <w:szCs w:val="16"/>
                <w:lang w:eastAsia="es-CR"/>
              </w:rPr>
              <w:br/>
              <w:t xml:space="preserve">Subetapa 1: Formulación de la metodología para definir indicadores y desarrollar la evaluación de impactos (15%) </w:t>
            </w:r>
          </w:p>
          <w:p w14:paraId="772622B1"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Subetapa 2: Formulación de la metodología para elaborar el Plan de Implementación de Impactos en 2026 (10%)</w:t>
            </w:r>
            <w:r w:rsidRPr="0073029B">
              <w:rPr>
                <w:rFonts w:eastAsia="Times New Roman" w:cs="Tahoma"/>
                <w:color w:val="000000"/>
                <w:szCs w:val="16"/>
                <w:lang w:eastAsia="es-CR"/>
              </w:rPr>
              <w:br/>
            </w:r>
            <w:r w:rsidRPr="0073029B">
              <w:rPr>
                <w:rFonts w:eastAsia="Times New Roman" w:cs="Tahoma"/>
                <w:b/>
                <w:bCs/>
                <w:color w:val="000000"/>
                <w:szCs w:val="16"/>
                <w:lang w:eastAsia="es-CR"/>
              </w:rPr>
              <w:t>Acumulado Anual: 100%</w:t>
            </w:r>
          </w:p>
        </w:tc>
      </w:tr>
      <w:tr w:rsidR="003855FD" w:rsidRPr="0073029B" w14:paraId="220EFC93" w14:textId="77777777" w:rsidTr="004D2834">
        <w:trPr>
          <w:trHeight w:val="420"/>
        </w:trPr>
        <w:tc>
          <w:tcPr>
            <w:tcW w:w="1419" w:type="pct"/>
            <w:gridSpan w:val="2"/>
            <w:shd w:val="clear" w:color="auto" w:fill="auto"/>
            <w:hideMark/>
          </w:tcPr>
          <w:p w14:paraId="68A9D16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w:t>
            </w:r>
            <w:r w:rsidRPr="0073029B">
              <w:rPr>
                <w:rFonts w:eastAsia="Times New Roman" w:cs="Tahoma"/>
                <w:b/>
                <w:bCs/>
                <w:color w:val="000000"/>
                <w:szCs w:val="16"/>
                <w:lang w:eastAsia="es-CR"/>
              </w:rPr>
              <w:br/>
              <w:t>seguimiento</w:t>
            </w:r>
          </w:p>
        </w:tc>
        <w:tc>
          <w:tcPr>
            <w:tcW w:w="3581" w:type="pct"/>
            <w:shd w:val="clear" w:color="auto" w:fill="auto"/>
            <w:hideMark/>
          </w:tcPr>
          <w:p w14:paraId="55D33116"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Anual, semestral</w:t>
            </w:r>
          </w:p>
        </w:tc>
      </w:tr>
      <w:tr w:rsidR="003855FD" w:rsidRPr="0073029B" w14:paraId="7C7E1C1E" w14:textId="77777777" w:rsidTr="004D2834">
        <w:trPr>
          <w:trHeight w:val="552"/>
        </w:trPr>
        <w:tc>
          <w:tcPr>
            <w:tcW w:w="1419" w:type="pct"/>
            <w:gridSpan w:val="2"/>
            <w:shd w:val="clear" w:color="auto" w:fill="auto"/>
            <w:hideMark/>
          </w:tcPr>
          <w:p w14:paraId="33FC563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81" w:type="pct"/>
            <w:shd w:val="clear" w:color="auto" w:fill="auto"/>
            <w:hideMark/>
          </w:tcPr>
          <w:p w14:paraId="72853CE5"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Dirección Nacional de Notariado, Dirección Ejecutiva, Unidad de Prevención de Legitimación de Capitales, Financiamiento al Terrorismo y la Proliferación de armas de Destrucción Masiva, Expediente Digital de seguimiento del PNDIP.</w:t>
            </w:r>
          </w:p>
        </w:tc>
      </w:tr>
      <w:tr w:rsidR="003855FD" w:rsidRPr="0073029B" w14:paraId="665816C7" w14:textId="77777777" w:rsidTr="004D2834">
        <w:trPr>
          <w:trHeight w:val="408"/>
        </w:trPr>
        <w:tc>
          <w:tcPr>
            <w:tcW w:w="1419" w:type="pct"/>
            <w:gridSpan w:val="2"/>
            <w:shd w:val="clear" w:color="auto" w:fill="auto"/>
            <w:hideMark/>
          </w:tcPr>
          <w:p w14:paraId="0D099FB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581" w:type="pct"/>
            <w:shd w:val="clear" w:color="auto" w:fill="auto"/>
            <w:hideMark/>
          </w:tcPr>
          <w:p w14:paraId="4540E9DA"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788B91A9" w14:textId="77777777" w:rsidTr="004D2834">
        <w:trPr>
          <w:trHeight w:val="792"/>
        </w:trPr>
        <w:tc>
          <w:tcPr>
            <w:tcW w:w="1419" w:type="pct"/>
            <w:gridSpan w:val="2"/>
            <w:shd w:val="clear" w:color="auto" w:fill="auto"/>
            <w:hideMark/>
          </w:tcPr>
          <w:p w14:paraId="5C6EAE2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81" w:type="pct"/>
            <w:shd w:val="clear" w:color="auto" w:fill="auto"/>
            <w:hideMark/>
          </w:tcPr>
          <w:p w14:paraId="1D1CE50B"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Registro Administrativo del seguimiento de las metas del Proyecto DNN: Un esfuerzo preventivo de Prevención de Legitimación de Capitales, Financiamiento al Terrorismo y la Proliferación de Armas de Destrucción Masiva.</w:t>
            </w:r>
          </w:p>
        </w:tc>
      </w:tr>
      <w:tr w:rsidR="003855FD" w:rsidRPr="0073029B" w14:paraId="3F744B2C" w14:textId="77777777" w:rsidTr="004D2834">
        <w:trPr>
          <w:trHeight w:val="432"/>
        </w:trPr>
        <w:tc>
          <w:tcPr>
            <w:tcW w:w="1419" w:type="pct"/>
            <w:gridSpan w:val="2"/>
            <w:shd w:val="clear" w:color="auto" w:fill="auto"/>
            <w:hideMark/>
          </w:tcPr>
          <w:p w14:paraId="1D60093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 Sostenible (ODS) vinculado</w:t>
            </w:r>
          </w:p>
        </w:tc>
        <w:tc>
          <w:tcPr>
            <w:tcW w:w="3581" w:type="pct"/>
            <w:shd w:val="clear" w:color="auto" w:fill="auto"/>
            <w:hideMark/>
          </w:tcPr>
          <w:p w14:paraId="084E5089"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ODS 16: Indicador 16.4</w:t>
            </w:r>
          </w:p>
        </w:tc>
      </w:tr>
      <w:tr w:rsidR="003855FD" w:rsidRPr="0073029B" w14:paraId="63DC9BA0" w14:textId="77777777" w:rsidTr="004D2834">
        <w:trPr>
          <w:trHeight w:val="432"/>
        </w:trPr>
        <w:tc>
          <w:tcPr>
            <w:tcW w:w="1419" w:type="pct"/>
            <w:gridSpan w:val="2"/>
            <w:shd w:val="clear" w:color="auto" w:fill="auto"/>
            <w:hideMark/>
          </w:tcPr>
          <w:p w14:paraId="6B74A1B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581" w:type="pct"/>
            <w:shd w:val="clear" w:color="auto" w:fill="auto"/>
            <w:hideMark/>
          </w:tcPr>
          <w:p w14:paraId="746BBA72"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(x) Indirecta</w:t>
            </w:r>
          </w:p>
        </w:tc>
      </w:tr>
      <w:tr w:rsidR="003855FD" w:rsidRPr="0073029B" w14:paraId="1A3E3B23" w14:textId="77777777" w:rsidTr="004D2834">
        <w:trPr>
          <w:trHeight w:val="432"/>
        </w:trPr>
        <w:tc>
          <w:tcPr>
            <w:tcW w:w="1419" w:type="pct"/>
            <w:gridSpan w:val="2"/>
            <w:shd w:val="clear" w:color="auto" w:fill="auto"/>
            <w:hideMark/>
          </w:tcPr>
          <w:p w14:paraId="214B3ED7"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Medida priorizada por el Consenso de Montevideo</w:t>
            </w:r>
          </w:p>
        </w:tc>
        <w:tc>
          <w:tcPr>
            <w:tcW w:w="3581" w:type="pct"/>
            <w:shd w:val="clear" w:color="auto" w:fill="auto"/>
            <w:hideMark/>
          </w:tcPr>
          <w:p w14:paraId="5EB67F4B"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A:5</w:t>
            </w:r>
          </w:p>
        </w:tc>
      </w:tr>
      <w:tr w:rsidR="003855FD" w:rsidRPr="0073029B" w14:paraId="0D13F0DF" w14:textId="77777777" w:rsidTr="004D2834">
        <w:trPr>
          <w:trHeight w:val="432"/>
        </w:trPr>
        <w:tc>
          <w:tcPr>
            <w:tcW w:w="1419" w:type="pct"/>
            <w:gridSpan w:val="2"/>
            <w:shd w:val="clear" w:color="auto" w:fill="auto"/>
            <w:hideMark/>
          </w:tcPr>
          <w:p w14:paraId="606F6DDA"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 Desarrollo</w:t>
            </w:r>
          </w:p>
        </w:tc>
        <w:tc>
          <w:tcPr>
            <w:tcW w:w="3581" w:type="pct"/>
            <w:shd w:val="clear" w:color="auto" w:fill="auto"/>
            <w:hideMark/>
          </w:tcPr>
          <w:p w14:paraId="2DD6309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w:t>
            </w:r>
          </w:p>
        </w:tc>
      </w:tr>
      <w:tr w:rsidR="003855FD" w:rsidRPr="0073029B" w14:paraId="40916CF9" w14:textId="77777777" w:rsidTr="004D2834">
        <w:trPr>
          <w:trHeight w:val="2460"/>
        </w:trPr>
        <w:tc>
          <w:tcPr>
            <w:tcW w:w="1419" w:type="pct"/>
            <w:gridSpan w:val="2"/>
            <w:shd w:val="clear" w:color="auto" w:fill="auto"/>
            <w:hideMark/>
          </w:tcPr>
          <w:p w14:paraId="510C5BD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81" w:type="pct"/>
            <w:shd w:val="clear" w:color="auto" w:fill="auto"/>
            <w:hideMark/>
          </w:tcPr>
          <w:p w14:paraId="622B8C0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Durante el proceso de la evaluación y seguimiento intensificado sobre Costa Rica (2015-2017) desarrollado según procedimientos del Grupo de Acción Financiera Internacional (GAFI), se concluyó que las calificaciones obtenidas al momento de aprobación de su Informe de Evaluación Mutua ubican a nuestro país dentro del umbral para entrar dentro del proceso de seguimiento intensificado, el cual se basa en la política tradicional del GAFI que aborda a aquellos miembros con deficiencias significativas (de cumplimiento técnico o efectividad) en sus sistemas ALA/CFT e implica un proceso de seguimiento más riguroso. De ser incluidos como país no cooperante (lista gris), se provoca un calificativo adverso con consecuencias a nivel internacional que traen consigo efectos negativos tales como:</w:t>
            </w:r>
          </w:p>
          <w:p w14:paraId="3BA9168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br/>
              <w:t>-El cierre de cuentas de corresponsalía bancaria. Afectación de la imagen del país y las profesiones independientes.</w:t>
            </w:r>
          </w:p>
          <w:p w14:paraId="60D33022"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-Afectación de los negocios de exportación; importación y comercio exterior.</w:t>
            </w:r>
          </w:p>
          <w:p w14:paraId="20EA6D6F"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-Encarecimiento de servicios bancarios con respecto a sanciones con países pares.</w:t>
            </w:r>
          </w:p>
          <w:p w14:paraId="5C74F01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-La designación implica que nos incluirían dentro de un riesgo elevado.</w:t>
            </w:r>
          </w:p>
          <w:p w14:paraId="0D2ADDF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-El cierre o limitación de acceso a ayudas internacionales y créditos de organismos relevantes, entre otras posibles sanciones.</w:t>
            </w:r>
          </w:p>
        </w:tc>
      </w:tr>
      <w:tr w:rsidR="003855FD" w:rsidRPr="0073029B" w14:paraId="001C0634" w14:textId="77777777" w:rsidTr="004D2834">
        <w:trPr>
          <w:trHeight w:val="1080"/>
        </w:trPr>
        <w:tc>
          <w:tcPr>
            <w:tcW w:w="1419" w:type="pct"/>
            <w:gridSpan w:val="2"/>
            <w:shd w:val="clear" w:color="auto" w:fill="003A70"/>
            <w:hideMark/>
          </w:tcPr>
          <w:p w14:paraId="260E610E"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FFFFFF" w:themeColor="background1"/>
                <w:szCs w:val="16"/>
                <w:lang w:eastAsia="es-CR"/>
              </w:rPr>
              <w:t xml:space="preserve">Control de actualizaciones del indicador </w:t>
            </w:r>
          </w:p>
        </w:tc>
        <w:tc>
          <w:tcPr>
            <w:tcW w:w="3581" w:type="pct"/>
            <w:shd w:val="clear" w:color="auto" w:fill="auto"/>
            <w:hideMark/>
          </w:tcPr>
          <w:p w14:paraId="10AE0C56"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2023</w:t>
            </w:r>
            <w:r w:rsidRPr="0073029B">
              <w:rPr>
                <w:rFonts w:eastAsia="Times New Roman" w:cs="Tahoma"/>
                <w:color w:val="000000"/>
                <w:szCs w:val="16"/>
                <w:lang w:eastAsia="es-CR"/>
              </w:rPr>
              <w:t xml:space="preserve">: Se modificó el Nombre del indicador, la fórmula de cálculo, los componentes de la fórmula de cálculo, la interpretación, y la meta. Oficio de aprobación </w:t>
            </w:r>
            <w:bookmarkStart w:id="79" w:name="_Hlk191369598"/>
            <w:r w:rsidRPr="0073029B">
              <w:rPr>
                <w:rFonts w:eastAsia="Times New Roman" w:cs="Tahoma"/>
                <w:color w:val="000000"/>
                <w:szCs w:val="16"/>
                <w:lang w:eastAsia="es-CR"/>
              </w:rPr>
              <w:t>MIDEPLAN-DM-OF-2026-2023at</w:t>
            </w:r>
            <w:bookmarkEnd w:id="79"/>
            <w:r w:rsidRPr="0073029B">
              <w:rPr>
                <w:rFonts w:eastAsia="Times New Roman" w:cs="Tahoma"/>
                <w:color w:val="000000"/>
                <w:szCs w:val="16"/>
                <w:lang w:eastAsia="es-CR"/>
              </w:rPr>
              <w:t>.of.MJP-DM-SC-052y 054 2023 (rige a partir de 2024).</w:t>
            </w:r>
            <w:r w:rsidRPr="0073029B">
              <w:rPr>
                <w:rFonts w:eastAsia="Times New Roman" w:cs="Tahoma"/>
                <w:color w:val="000000"/>
                <w:szCs w:val="16"/>
                <w:lang w:eastAsia="es-CR"/>
              </w:rPr>
              <w:br/>
            </w:r>
            <w:r w:rsidRPr="0073029B">
              <w:rPr>
                <w:rFonts w:eastAsia="Times New Roman" w:cs="Tahoma"/>
                <w:b/>
                <w:bCs/>
                <w:color w:val="000000"/>
                <w:szCs w:val="16"/>
                <w:lang w:eastAsia="es-CR"/>
              </w:rPr>
              <w:t>2024:</w:t>
            </w:r>
            <w:r w:rsidRPr="0073029B">
              <w:rPr>
                <w:rFonts w:eastAsia="Times New Roman" w:cs="Tahoma"/>
                <w:color w:val="000000"/>
                <w:szCs w:val="16"/>
                <w:lang w:eastAsia="es-CR"/>
              </w:rPr>
              <w:t xml:space="preserve"> Se modificó la definición conceptual, la interpretación, la fuente de información, el tipo de operación estadística, el indicador de Objetivo de Desarrollo Sostenible (ODS) vinculado, el tipo de relación con ODS y los comentarios generales. Oficio de aprobación MIDEPLAN-DVM-OF-0080-2024 (rige a partir de 2024).</w:t>
            </w:r>
          </w:p>
        </w:tc>
      </w:tr>
    </w:tbl>
    <w:p w14:paraId="4E26ACE4" w14:textId="77777777" w:rsidR="003855FD" w:rsidRPr="0073029B" w:rsidRDefault="003855FD" w:rsidP="003855FD">
      <w:pPr>
        <w:pStyle w:val="Default"/>
        <w:rPr>
          <w:rFonts w:ascii="Tahoma" w:eastAsia="Arial Narrow" w:hAnsi="Tahoma" w:cs="Tahoma"/>
          <w:sz w:val="16"/>
          <w:szCs w:val="16"/>
        </w:rPr>
      </w:pPr>
      <w:r w:rsidRPr="0073029B">
        <w:rPr>
          <w:rFonts w:ascii="Tahoma" w:eastAsia="Arial Narrow" w:hAnsi="Tahoma" w:cs="Tahoma"/>
          <w:sz w:val="16"/>
          <w:szCs w:val="16"/>
        </w:rPr>
        <w:t xml:space="preserve">Fuente: Dirección Nacional de Notariado. </w:t>
      </w:r>
    </w:p>
    <w:bookmarkEnd w:id="77"/>
    <w:p w14:paraId="3CC382EB" w14:textId="77777777" w:rsidR="003855FD" w:rsidRPr="0073029B" w:rsidRDefault="003855FD" w:rsidP="003855FD">
      <w:pPr>
        <w:pStyle w:val="Default"/>
        <w:rPr>
          <w:rFonts w:ascii="Tahoma" w:eastAsia="Arial Narrow" w:hAnsi="Tahoma" w:cs="Tahoma"/>
          <w:sz w:val="16"/>
          <w:szCs w:val="16"/>
        </w:rPr>
      </w:pPr>
    </w:p>
    <w:p w14:paraId="33823C4D" w14:textId="77777777" w:rsidR="003855FD" w:rsidRPr="0073029B" w:rsidRDefault="003855FD" w:rsidP="003855FD">
      <w:pPr>
        <w:pStyle w:val="Default"/>
        <w:spacing w:line="276" w:lineRule="auto"/>
        <w:jc w:val="both"/>
        <w:rPr>
          <w:rFonts w:ascii="Tahoma" w:eastAsia="Arial Narrow" w:hAnsi="Tahoma" w:cs="Tahoma"/>
          <w:sz w:val="16"/>
          <w:szCs w:val="16"/>
        </w:rPr>
      </w:pPr>
      <w:bookmarkStart w:id="80" w:name="_Hlk191371435"/>
      <w:r w:rsidRPr="0073029B">
        <w:rPr>
          <w:rFonts w:ascii="Tahoma" w:eastAsia="Arial Narrow" w:hAnsi="Tahoma" w:cs="Tahoma"/>
          <w:b/>
          <w:sz w:val="16"/>
          <w:szCs w:val="16"/>
          <w:u w:val="single"/>
        </w:rPr>
        <w:t>Intervención Pública 8.</w:t>
      </w:r>
      <w:r w:rsidRPr="0073029B">
        <w:rPr>
          <w:rFonts w:ascii="Tahoma" w:eastAsia="Arial Narrow" w:hAnsi="Tahoma" w:cs="Tahoma"/>
          <w:sz w:val="16"/>
          <w:szCs w:val="16"/>
          <w:u w:val="single"/>
        </w:rPr>
        <w:t xml:space="preserve"> Estrategia de Protección efectiva, acceso real, debida diligencia y no </w:t>
      </w:r>
      <w:proofErr w:type="spellStart"/>
      <w:r w:rsidRPr="0073029B">
        <w:rPr>
          <w:rFonts w:ascii="Tahoma" w:eastAsia="Arial Narrow" w:hAnsi="Tahoma" w:cs="Tahoma"/>
          <w:sz w:val="16"/>
          <w:szCs w:val="16"/>
          <w:u w:val="single"/>
        </w:rPr>
        <w:t>re-victimización</w:t>
      </w:r>
      <w:proofErr w:type="spellEnd"/>
      <w:r w:rsidRPr="0073029B">
        <w:rPr>
          <w:rFonts w:ascii="Tahoma" w:eastAsia="Arial Narrow" w:hAnsi="Tahoma" w:cs="Tahoma"/>
          <w:sz w:val="16"/>
          <w:szCs w:val="16"/>
          <w:u w:val="single"/>
        </w:rPr>
        <w:t xml:space="preserve"> a mujeres víctimas de violencia de género</w:t>
      </w:r>
      <w:r w:rsidRPr="0073029B">
        <w:rPr>
          <w:rFonts w:ascii="Tahoma" w:eastAsia="Arial Narrow" w:hAnsi="Tahoma" w:cs="Tahoma"/>
          <w:sz w:val="16"/>
          <w:szCs w:val="16"/>
        </w:rPr>
        <w:t>.</w:t>
      </w:r>
    </w:p>
    <w:p w14:paraId="26502207" w14:textId="77777777" w:rsidR="003855FD" w:rsidRPr="0073029B" w:rsidRDefault="003855FD" w:rsidP="003855FD">
      <w:pPr>
        <w:pStyle w:val="Default"/>
        <w:spacing w:line="276" w:lineRule="auto"/>
        <w:jc w:val="both"/>
        <w:rPr>
          <w:rFonts w:ascii="Tahoma" w:eastAsia="Arial Narrow" w:hAnsi="Tahoma" w:cs="Tahoma"/>
          <w:sz w:val="16"/>
          <w:szCs w:val="16"/>
        </w:rPr>
      </w:pPr>
    </w:p>
    <w:p w14:paraId="6B362807" w14:textId="77777777" w:rsidR="003855FD" w:rsidRPr="0073029B" w:rsidRDefault="003855FD" w:rsidP="003855FD">
      <w:pPr>
        <w:pStyle w:val="Default"/>
        <w:spacing w:line="276" w:lineRule="auto"/>
        <w:jc w:val="both"/>
        <w:rPr>
          <w:rFonts w:ascii="Tahoma" w:eastAsia="Arial Narrow" w:hAnsi="Tahoma" w:cs="Tahoma"/>
          <w:sz w:val="16"/>
          <w:szCs w:val="16"/>
        </w:rPr>
      </w:pPr>
      <w:r w:rsidRPr="0073029B">
        <w:rPr>
          <w:rFonts w:ascii="Tahoma" w:eastAsia="Arial Narrow" w:hAnsi="Tahoma" w:cs="Tahoma"/>
          <w:b/>
          <w:sz w:val="16"/>
          <w:szCs w:val="16"/>
        </w:rPr>
        <w:t>Objetivo 8.1</w:t>
      </w:r>
      <w:r w:rsidRPr="0073029B">
        <w:rPr>
          <w:rFonts w:ascii="Tahoma" w:eastAsia="Arial Narrow" w:hAnsi="Tahoma" w:cs="Tahoma"/>
          <w:sz w:val="16"/>
          <w:szCs w:val="16"/>
        </w:rPr>
        <w:t xml:space="preserve"> Fortalecer las capacidades de denuncia de las mujeres para el ejercicio de sus derechos.</w:t>
      </w:r>
    </w:p>
    <w:p w14:paraId="17AA8B4F" w14:textId="77777777" w:rsidR="003855FD" w:rsidRPr="0073029B" w:rsidRDefault="003855FD" w:rsidP="003855FD">
      <w:pPr>
        <w:pStyle w:val="Default"/>
        <w:spacing w:line="276" w:lineRule="auto"/>
        <w:jc w:val="both"/>
        <w:rPr>
          <w:rFonts w:ascii="Tahoma" w:eastAsia="Arial Narrow"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1249"/>
        <w:gridCol w:w="6595"/>
      </w:tblGrid>
      <w:tr w:rsidR="003855FD" w:rsidRPr="0073029B" w14:paraId="6CDB4BAC" w14:textId="77777777" w:rsidTr="004D2834">
        <w:trPr>
          <w:trHeight w:val="20"/>
          <w:tblHeader/>
        </w:trPr>
        <w:tc>
          <w:tcPr>
            <w:tcW w:w="1463" w:type="pct"/>
            <w:gridSpan w:val="2"/>
            <w:shd w:val="clear" w:color="auto" w:fill="003A70"/>
            <w:hideMark/>
          </w:tcPr>
          <w:p w14:paraId="04AF056F" w14:textId="77777777" w:rsidR="003855FD" w:rsidRPr="0073029B" w:rsidRDefault="003855FD" w:rsidP="004D2834">
            <w:pPr>
              <w:spacing w:after="0" w:line="240" w:lineRule="auto"/>
              <w:jc w:val="center"/>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Indicador</w:t>
            </w:r>
          </w:p>
        </w:tc>
        <w:tc>
          <w:tcPr>
            <w:tcW w:w="3537" w:type="pct"/>
            <w:shd w:val="clear" w:color="auto" w:fill="003A70"/>
            <w:hideMark/>
          </w:tcPr>
          <w:p w14:paraId="49701B7C" w14:textId="77777777" w:rsidR="003855FD" w:rsidRPr="0073029B" w:rsidRDefault="003855FD" w:rsidP="004D2834">
            <w:pPr>
              <w:spacing w:after="0" w:line="240" w:lineRule="auto"/>
              <w:jc w:val="center"/>
              <w:rPr>
                <w:rFonts w:eastAsia="Times New Roman" w:cs="Tahoma"/>
                <w:b/>
                <w:color w:val="FFFFFF" w:themeColor="background1"/>
                <w:szCs w:val="16"/>
                <w:lang w:eastAsia="es-CR"/>
              </w:rPr>
            </w:pPr>
            <w:r w:rsidRPr="0073029B">
              <w:rPr>
                <w:rFonts w:eastAsia="Times New Roman" w:cs="Tahoma"/>
                <w:b/>
                <w:color w:val="FFFFFF" w:themeColor="background1"/>
                <w:szCs w:val="16"/>
                <w:lang w:eastAsia="es-CR"/>
              </w:rPr>
              <w:t>B. 1.1.1</w:t>
            </w:r>
          </w:p>
        </w:tc>
      </w:tr>
      <w:tr w:rsidR="003855FD" w:rsidRPr="0073029B" w14:paraId="43C72E16" w14:textId="77777777" w:rsidTr="004D2834">
        <w:trPr>
          <w:trHeight w:val="20"/>
          <w:tblHeader/>
        </w:trPr>
        <w:tc>
          <w:tcPr>
            <w:tcW w:w="1463" w:type="pct"/>
            <w:gridSpan w:val="2"/>
            <w:shd w:val="clear" w:color="000000" w:fill="D9D9D9"/>
            <w:vAlign w:val="center"/>
            <w:hideMark/>
          </w:tcPr>
          <w:p w14:paraId="33F2E758"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Elemento</w:t>
            </w:r>
          </w:p>
        </w:tc>
        <w:tc>
          <w:tcPr>
            <w:tcW w:w="3537" w:type="pct"/>
            <w:shd w:val="clear" w:color="000000" w:fill="D9D9D9"/>
            <w:vAlign w:val="center"/>
            <w:hideMark/>
          </w:tcPr>
          <w:p w14:paraId="08A1D724" w14:textId="77777777" w:rsidR="003855FD" w:rsidRPr="0073029B" w:rsidRDefault="003855FD" w:rsidP="004D2834">
            <w:pPr>
              <w:spacing w:after="0" w:line="240" w:lineRule="auto"/>
              <w:jc w:val="center"/>
              <w:rPr>
                <w:rFonts w:eastAsia="Times New Roman" w:cs="Tahoma"/>
                <w:b/>
                <w:bCs/>
                <w:color w:val="000000"/>
                <w:szCs w:val="16"/>
                <w:lang w:eastAsia="es-CR"/>
              </w:rPr>
            </w:pPr>
            <w:r w:rsidRPr="0073029B">
              <w:rPr>
                <w:rFonts w:eastAsia="Times New Roman" w:cs="Tahoma"/>
                <w:b/>
                <w:bCs/>
                <w:color w:val="000000"/>
                <w:szCs w:val="16"/>
                <w:lang w:eastAsia="es-CR"/>
              </w:rPr>
              <w:t>Descripción</w:t>
            </w:r>
          </w:p>
        </w:tc>
      </w:tr>
      <w:tr w:rsidR="003855FD" w:rsidRPr="0073029B" w14:paraId="7E9F4E91" w14:textId="77777777" w:rsidTr="004D2834">
        <w:trPr>
          <w:trHeight w:val="20"/>
        </w:trPr>
        <w:tc>
          <w:tcPr>
            <w:tcW w:w="1463" w:type="pct"/>
            <w:gridSpan w:val="2"/>
            <w:shd w:val="clear" w:color="auto" w:fill="003A70"/>
            <w:hideMark/>
          </w:tcPr>
          <w:p w14:paraId="4B3FC9B3"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Nombre del indicador</w:t>
            </w:r>
          </w:p>
        </w:tc>
        <w:tc>
          <w:tcPr>
            <w:tcW w:w="3537" w:type="pct"/>
            <w:shd w:val="clear" w:color="auto" w:fill="003A70"/>
            <w:hideMark/>
          </w:tcPr>
          <w:p w14:paraId="6929AB58" w14:textId="77777777" w:rsidR="003855FD" w:rsidRPr="0073029B" w:rsidRDefault="003855FD" w:rsidP="004D2834">
            <w:pPr>
              <w:spacing w:after="0"/>
              <w:rPr>
                <w:rFonts w:cs="Tahoma"/>
                <w:b/>
                <w:lang w:eastAsia="es-CR"/>
              </w:rPr>
            </w:pPr>
            <w:bookmarkStart w:id="81" w:name="_Toc202257802"/>
            <w:r w:rsidRPr="0073029B">
              <w:rPr>
                <w:rFonts w:cs="Tahoma"/>
                <w:b/>
                <w:lang w:eastAsia="es-CR"/>
              </w:rPr>
              <w:t>B. 1.1.1 Número de mujeres que reciben atención y orientación psicosocial y legal, en los puntos violeta establecidos.</w:t>
            </w:r>
            <w:bookmarkEnd w:id="81"/>
          </w:p>
        </w:tc>
      </w:tr>
      <w:tr w:rsidR="003855FD" w:rsidRPr="0073029B" w14:paraId="0BE3513B" w14:textId="77777777" w:rsidTr="004D2834">
        <w:trPr>
          <w:trHeight w:val="20"/>
        </w:trPr>
        <w:tc>
          <w:tcPr>
            <w:tcW w:w="1463" w:type="pct"/>
            <w:gridSpan w:val="2"/>
            <w:shd w:val="clear" w:color="auto" w:fill="auto"/>
            <w:hideMark/>
          </w:tcPr>
          <w:p w14:paraId="40961DB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Definición conceptual</w:t>
            </w:r>
          </w:p>
        </w:tc>
        <w:tc>
          <w:tcPr>
            <w:tcW w:w="3537" w:type="pct"/>
            <w:shd w:val="clear" w:color="auto" w:fill="auto"/>
          </w:tcPr>
          <w:p w14:paraId="59FDE372" w14:textId="77777777" w:rsidR="003855FD" w:rsidRPr="0073029B" w:rsidRDefault="003855FD" w:rsidP="004D2834">
            <w:pPr>
              <w:jc w:val="both"/>
              <w:rPr>
                <w:rFonts w:cs="Tahoma"/>
                <w:color w:val="000000"/>
                <w:szCs w:val="16"/>
              </w:rPr>
            </w:pPr>
            <w:r w:rsidRPr="0073029B">
              <w:rPr>
                <w:rFonts w:cs="Tahoma"/>
                <w:color w:val="000000"/>
                <w:szCs w:val="16"/>
              </w:rPr>
              <w:t xml:space="preserve">Los Centros de Atención y Apoyo en procesos de denuncia, conocidos como “Puntos Violeta”, forman parte de la estrategia Ruta de Género, dispuesto mediante Decreto Ejecutivo </w:t>
            </w:r>
            <w:proofErr w:type="spellStart"/>
            <w:r w:rsidRPr="0073029B">
              <w:rPr>
                <w:rFonts w:cs="Tahoma"/>
                <w:color w:val="000000"/>
                <w:szCs w:val="16"/>
              </w:rPr>
              <w:t>N°</w:t>
            </w:r>
            <w:proofErr w:type="spellEnd"/>
            <w:r w:rsidRPr="0073029B">
              <w:rPr>
                <w:rFonts w:cs="Tahoma"/>
                <w:color w:val="000000"/>
                <w:szCs w:val="16"/>
              </w:rPr>
              <w:t xml:space="preserve"> 43771MSP-MJP-MTSS-MCM. </w:t>
            </w:r>
          </w:p>
          <w:p w14:paraId="7C0B6593" w14:textId="77777777" w:rsidR="003855FD" w:rsidRPr="0073029B" w:rsidRDefault="003855FD" w:rsidP="004D2834">
            <w:pPr>
              <w:jc w:val="both"/>
              <w:rPr>
                <w:rFonts w:cs="Tahoma"/>
                <w:color w:val="000000"/>
                <w:szCs w:val="16"/>
              </w:rPr>
            </w:pPr>
            <w:r w:rsidRPr="0073029B">
              <w:rPr>
                <w:rFonts w:cs="Tahoma"/>
                <w:color w:val="000000"/>
                <w:szCs w:val="16"/>
              </w:rPr>
              <w:t>En estos espacios se brinda información, orientación a las mujeres víctimas de violencia, en particular de acoso y hostigamiento sexual, sobre sus derechos.</w:t>
            </w:r>
          </w:p>
          <w:p w14:paraId="5C44BE73" w14:textId="77777777" w:rsidR="003855FD" w:rsidRPr="0073029B" w:rsidRDefault="003855FD" w:rsidP="004D2834">
            <w:pPr>
              <w:jc w:val="both"/>
              <w:rPr>
                <w:rFonts w:cs="Tahoma"/>
                <w:color w:val="000000"/>
                <w:szCs w:val="16"/>
              </w:rPr>
            </w:pPr>
            <w:r w:rsidRPr="0073029B">
              <w:rPr>
                <w:rFonts w:cs="Tahoma"/>
                <w:color w:val="000000"/>
                <w:szCs w:val="16"/>
              </w:rPr>
              <w:t>Es un mecanismo de auxilio en el que las mujeres reciben información para atender situaciones de violencia.</w:t>
            </w:r>
          </w:p>
          <w:p w14:paraId="544B19F8" w14:textId="77777777" w:rsidR="003855FD" w:rsidRPr="0073029B" w:rsidRDefault="003855FD" w:rsidP="004D2834">
            <w:pPr>
              <w:jc w:val="both"/>
              <w:rPr>
                <w:rFonts w:cs="Tahoma"/>
                <w:color w:val="000000"/>
                <w:szCs w:val="16"/>
              </w:rPr>
            </w:pPr>
            <w:r w:rsidRPr="0073029B">
              <w:rPr>
                <w:rFonts w:cs="Tahoma"/>
                <w:color w:val="000000"/>
                <w:szCs w:val="16"/>
              </w:rPr>
              <w:t>Como parte de las acciones se brinda primeros auxilios psicológicos y se realizan referencias a las Unidades Regionales del INAMU para la atención especializada de las mujeres víctimas de violencia. </w:t>
            </w:r>
          </w:p>
          <w:p w14:paraId="603010EA" w14:textId="77777777" w:rsidR="003855FD" w:rsidRPr="0073029B" w:rsidRDefault="003855FD" w:rsidP="004D2834">
            <w:pPr>
              <w:jc w:val="both"/>
              <w:rPr>
                <w:rFonts w:cs="Tahoma"/>
                <w:color w:val="000000"/>
                <w:szCs w:val="16"/>
              </w:rPr>
            </w:pPr>
            <w:r w:rsidRPr="0073029B">
              <w:rPr>
                <w:rFonts w:cs="Tahoma"/>
                <w:color w:val="000000"/>
                <w:szCs w:val="16"/>
              </w:rPr>
              <w:t xml:space="preserve">A su vez y mediante una contratación desde los Puntos Violeta se coordina la prestación de los servicios de asesoría y representación legal para los procesos de acoso y hostigamiento sexual en todas las regiones del país. </w:t>
            </w:r>
          </w:p>
          <w:p w14:paraId="2F05C856" w14:textId="77777777" w:rsidR="003855FD" w:rsidRPr="0073029B" w:rsidRDefault="003855FD" w:rsidP="004D2834">
            <w:pPr>
              <w:spacing w:after="0"/>
              <w:jc w:val="both"/>
              <w:rPr>
                <w:rFonts w:eastAsia="Times New Roman" w:cs="Tahoma"/>
                <w:color w:val="000000"/>
                <w:szCs w:val="16"/>
                <w:lang w:eastAsia="es-CR"/>
              </w:rPr>
            </w:pPr>
            <w:r w:rsidRPr="0073029B">
              <w:rPr>
                <w:rFonts w:cs="Tahoma"/>
                <w:color w:val="000000"/>
                <w:szCs w:val="16"/>
              </w:rPr>
              <w:lastRenderedPageBreak/>
              <w:t xml:space="preserve">Los Puntos Violeta se ejecutan en 31 establecimientos en todo el país y son habilitados sumando los esfuerzos de varias Instituciones, el recurso humano que labora en los centros es un servicio contratado por el INAMU estableciendo una inversión anual aproximada de 700 millones de colones. </w:t>
            </w:r>
          </w:p>
        </w:tc>
      </w:tr>
      <w:tr w:rsidR="003855FD" w:rsidRPr="0073029B" w14:paraId="1AE69748" w14:textId="77777777" w:rsidTr="004D2834">
        <w:trPr>
          <w:trHeight w:val="20"/>
        </w:trPr>
        <w:tc>
          <w:tcPr>
            <w:tcW w:w="1463" w:type="pct"/>
            <w:gridSpan w:val="2"/>
            <w:shd w:val="clear" w:color="auto" w:fill="auto"/>
            <w:hideMark/>
          </w:tcPr>
          <w:p w14:paraId="2AAFEA9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lastRenderedPageBreak/>
              <w:t xml:space="preserve">Fórmula de cálculo </w:t>
            </w:r>
          </w:p>
        </w:tc>
        <w:tc>
          <w:tcPr>
            <w:tcW w:w="3537" w:type="pct"/>
            <w:shd w:val="clear" w:color="auto" w:fill="auto"/>
            <w:hideMark/>
          </w:tcPr>
          <w:p w14:paraId="39C6CE56"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ΣX1+X2+X3+X4</w:t>
            </w:r>
          </w:p>
        </w:tc>
      </w:tr>
      <w:tr w:rsidR="003855FD" w:rsidRPr="0073029B" w14:paraId="364E5DD1" w14:textId="77777777" w:rsidTr="004D2834">
        <w:trPr>
          <w:trHeight w:val="20"/>
        </w:trPr>
        <w:tc>
          <w:tcPr>
            <w:tcW w:w="1463" w:type="pct"/>
            <w:gridSpan w:val="2"/>
            <w:shd w:val="clear" w:color="auto" w:fill="auto"/>
            <w:hideMark/>
          </w:tcPr>
          <w:p w14:paraId="1B46571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Componentes involucrados en la fórmula del cálculo</w:t>
            </w:r>
          </w:p>
        </w:tc>
        <w:tc>
          <w:tcPr>
            <w:tcW w:w="3537" w:type="pct"/>
            <w:shd w:val="clear" w:color="auto" w:fill="auto"/>
            <w:hideMark/>
          </w:tcPr>
          <w:p w14:paraId="7486B33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X1: total de mujeres víctimas que reciben orientación y referencias en puntos Violeta establecidos. </w:t>
            </w:r>
          </w:p>
          <w:p w14:paraId="6E970E5D"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X2: total de mujeres que reciben atención psicosocial en puntos violeta establecidos. </w:t>
            </w:r>
          </w:p>
          <w:p w14:paraId="340EF282"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X3: total de mujeres que reciben atención legal en puntos violeta establecidos. </w:t>
            </w:r>
          </w:p>
          <w:p w14:paraId="3C7A2E4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X4: total de mujeres que reciben representación legal en puntos violeta establecidos.</w:t>
            </w:r>
          </w:p>
        </w:tc>
      </w:tr>
      <w:tr w:rsidR="003855FD" w:rsidRPr="0073029B" w14:paraId="65652FEB" w14:textId="77777777" w:rsidTr="004D2834">
        <w:trPr>
          <w:trHeight w:val="20"/>
        </w:trPr>
        <w:tc>
          <w:tcPr>
            <w:tcW w:w="1463" w:type="pct"/>
            <w:gridSpan w:val="2"/>
            <w:shd w:val="clear" w:color="auto" w:fill="auto"/>
            <w:hideMark/>
          </w:tcPr>
          <w:p w14:paraId="7771F6B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Unidad de medida</w:t>
            </w:r>
          </w:p>
        </w:tc>
        <w:tc>
          <w:tcPr>
            <w:tcW w:w="3537" w:type="pct"/>
            <w:shd w:val="clear" w:color="auto" w:fill="auto"/>
            <w:hideMark/>
          </w:tcPr>
          <w:p w14:paraId="6A129183"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Número</w:t>
            </w:r>
          </w:p>
        </w:tc>
      </w:tr>
      <w:tr w:rsidR="003855FD" w:rsidRPr="0073029B" w14:paraId="1D364A1A" w14:textId="77777777" w:rsidTr="004D2834">
        <w:trPr>
          <w:trHeight w:val="20"/>
        </w:trPr>
        <w:tc>
          <w:tcPr>
            <w:tcW w:w="1463" w:type="pct"/>
            <w:gridSpan w:val="2"/>
            <w:shd w:val="clear" w:color="auto" w:fill="auto"/>
            <w:hideMark/>
          </w:tcPr>
          <w:p w14:paraId="75EC48B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Interpretación</w:t>
            </w:r>
          </w:p>
        </w:tc>
        <w:tc>
          <w:tcPr>
            <w:tcW w:w="3537" w:type="pct"/>
            <w:shd w:val="clear" w:color="auto" w:fill="auto"/>
            <w:hideMark/>
          </w:tcPr>
          <w:p w14:paraId="04ADDE50"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A más mujeres víctimas atendidas legal o psicosocialmente, se fortalece el ejercicio de sus derechos y se mejora la debida diligencia, si algunas de ellas además obtienen representación legal.</w:t>
            </w:r>
          </w:p>
        </w:tc>
      </w:tr>
      <w:tr w:rsidR="003855FD" w:rsidRPr="0073029B" w14:paraId="1076D41D" w14:textId="77777777" w:rsidTr="004D2834">
        <w:trPr>
          <w:trHeight w:val="20"/>
        </w:trPr>
        <w:tc>
          <w:tcPr>
            <w:tcW w:w="793" w:type="pct"/>
            <w:vMerge w:val="restart"/>
            <w:shd w:val="clear" w:color="auto" w:fill="auto"/>
            <w:hideMark/>
          </w:tcPr>
          <w:p w14:paraId="46C59346"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Desagregación</w:t>
            </w:r>
          </w:p>
        </w:tc>
        <w:tc>
          <w:tcPr>
            <w:tcW w:w="670" w:type="pct"/>
            <w:shd w:val="clear" w:color="auto" w:fill="auto"/>
            <w:hideMark/>
          </w:tcPr>
          <w:p w14:paraId="24AFB761"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Geográfica</w:t>
            </w:r>
          </w:p>
        </w:tc>
        <w:tc>
          <w:tcPr>
            <w:tcW w:w="3537" w:type="pct"/>
            <w:shd w:val="clear" w:color="auto" w:fill="auto"/>
            <w:hideMark/>
          </w:tcPr>
          <w:p w14:paraId="041ABAA4"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Nacional</w:t>
            </w:r>
          </w:p>
        </w:tc>
      </w:tr>
      <w:tr w:rsidR="003855FD" w:rsidRPr="0073029B" w14:paraId="25F89EC7" w14:textId="77777777" w:rsidTr="004D2834">
        <w:trPr>
          <w:trHeight w:val="20"/>
        </w:trPr>
        <w:tc>
          <w:tcPr>
            <w:tcW w:w="793" w:type="pct"/>
            <w:vMerge/>
            <w:vAlign w:val="center"/>
            <w:hideMark/>
          </w:tcPr>
          <w:p w14:paraId="39B4084B" w14:textId="77777777" w:rsidR="003855FD" w:rsidRPr="0073029B" w:rsidRDefault="003855FD" w:rsidP="004D2834">
            <w:pPr>
              <w:spacing w:after="0" w:line="240" w:lineRule="auto"/>
              <w:rPr>
                <w:rFonts w:eastAsia="Times New Roman" w:cs="Tahoma"/>
                <w:b/>
                <w:bCs/>
                <w:color w:val="000000"/>
                <w:szCs w:val="16"/>
                <w:lang w:eastAsia="es-CR"/>
              </w:rPr>
            </w:pPr>
          </w:p>
        </w:tc>
        <w:tc>
          <w:tcPr>
            <w:tcW w:w="670" w:type="pct"/>
            <w:shd w:val="clear" w:color="auto" w:fill="auto"/>
            <w:hideMark/>
          </w:tcPr>
          <w:p w14:paraId="4AAF0215"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Temática</w:t>
            </w:r>
          </w:p>
        </w:tc>
        <w:tc>
          <w:tcPr>
            <w:tcW w:w="3537" w:type="pct"/>
            <w:shd w:val="clear" w:color="auto" w:fill="auto"/>
            <w:hideMark/>
          </w:tcPr>
          <w:p w14:paraId="36EFBB7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Género: 1. Contribuye al cierre de brechas de género</w:t>
            </w:r>
          </w:p>
        </w:tc>
      </w:tr>
      <w:tr w:rsidR="003855FD" w:rsidRPr="0073029B" w14:paraId="4BA0B8A1" w14:textId="77777777" w:rsidTr="004D2834">
        <w:trPr>
          <w:trHeight w:val="20"/>
        </w:trPr>
        <w:tc>
          <w:tcPr>
            <w:tcW w:w="1463" w:type="pct"/>
            <w:gridSpan w:val="2"/>
            <w:shd w:val="clear" w:color="auto" w:fill="auto"/>
            <w:hideMark/>
          </w:tcPr>
          <w:p w14:paraId="4DEFEF24"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Línea base</w:t>
            </w:r>
          </w:p>
        </w:tc>
        <w:tc>
          <w:tcPr>
            <w:tcW w:w="3537" w:type="pct"/>
            <w:shd w:val="clear" w:color="auto" w:fill="auto"/>
            <w:hideMark/>
          </w:tcPr>
          <w:p w14:paraId="08B6106C"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0</w:t>
            </w:r>
          </w:p>
        </w:tc>
      </w:tr>
      <w:tr w:rsidR="003855FD" w:rsidRPr="0073029B" w14:paraId="347DA92D" w14:textId="77777777" w:rsidTr="004D2834">
        <w:trPr>
          <w:trHeight w:val="20"/>
        </w:trPr>
        <w:tc>
          <w:tcPr>
            <w:tcW w:w="1463" w:type="pct"/>
            <w:gridSpan w:val="2"/>
            <w:shd w:val="clear" w:color="auto" w:fill="auto"/>
            <w:hideMark/>
          </w:tcPr>
          <w:p w14:paraId="6FD7D792"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Meta</w:t>
            </w:r>
          </w:p>
        </w:tc>
        <w:tc>
          <w:tcPr>
            <w:tcW w:w="3537" w:type="pct"/>
            <w:shd w:val="clear" w:color="auto" w:fill="auto"/>
            <w:hideMark/>
          </w:tcPr>
          <w:p w14:paraId="4675E922"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2023-2026: 10.000</w:t>
            </w:r>
            <w:r w:rsidRPr="0073029B">
              <w:rPr>
                <w:rFonts w:eastAsia="Times New Roman" w:cs="Tahoma"/>
                <w:color w:val="000000"/>
                <w:szCs w:val="16"/>
                <w:lang w:eastAsia="es-CR"/>
              </w:rPr>
              <w:br/>
              <w:t>2023: 600</w:t>
            </w:r>
            <w:r w:rsidRPr="0073029B">
              <w:rPr>
                <w:rFonts w:eastAsia="Times New Roman" w:cs="Tahoma"/>
                <w:color w:val="000000"/>
                <w:szCs w:val="16"/>
                <w:lang w:eastAsia="es-CR"/>
              </w:rPr>
              <w:br/>
              <w:t>2024:3.133</w:t>
            </w:r>
            <w:r w:rsidRPr="0073029B">
              <w:rPr>
                <w:rFonts w:eastAsia="Times New Roman" w:cs="Tahoma"/>
                <w:color w:val="000000"/>
                <w:szCs w:val="16"/>
                <w:lang w:eastAsia="es-CR"/>
              </w:rPr>
              <w:br/>
              <w:t>2025:3.133</w:t>
            </w:r>
            <w:r w:rsidRPr="0073029B">
              <w:rPr>
                <w:rFonts w:eastAsia="Times New Roman" w:cs="Tahoma"/>
                <w:color w:val="000000"/>
                <w:szCs w:val="16"/>
                <w:lang w:eastAsia="es-CR"/>
              </w:rPr>
              <w:br/>
              <w:t>2026:3.134</w:t>
            </w:r>
          </w:p>
        </w:tc>
      </w:tr>
      <w:tr w:rsidR="003855FD" w:rsidRPr="0073029B" w14:paraId="7BADA838" w14:textId="77777777" w:rsidTr="004D2834">
        <w:trPr>
          <w:trHeight w:val="20"/>
        </w:trPr>
        <w:tc>
          <w:tcPr>
            <w:tcW w:w="1463" w:type="pct"/>
            <w:gridSpan w:val="2"/>
            <w:shd w:val="clear" w:color="auto" w:fill="auto"/>
            <w:hideMark/>
          </w:tcPr>
          <w:p w14:paraId="53CFE56F"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Periodicidad del PNDIP para el</w:t>
            </w:r>
            <w:r w:rsidRPr="0073029B">
              <w:rPr>
                <w:rFonts w:eastAsia="Times New Roman" w:cs="Tahoma"/>
                <w:b/>
                <w:bCs/>
                <w:color w:val="000000"/>
                <w:szCs w:val="16"/>
                <w:lang w:eastAsia="es-CR"/>
              </w:rPr>
              <w:br/>
              <w:t>seguimiento</w:t>
            </w:r>
          </w:p>
        </w:tc>
        <w:tc>
          <w:tcPr>
            <w:tcW w:w="3537" w:type="pct"/>
            <w:shd w:val="clear" w:color="auto" w:fill="auto"/>
            <w:hideMark/>
          </w:tcPr>
          <w:p w14:paraId="69A1B51A"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Anual</w:t>
            </w:r>
          </w:p>
        </w:tc>
      </w:tr>
      <w:tr w:rsidR="003855FD" w:rsidRPr="0073029B" w14:paraId="52DAA0F8" w14:textId="77777777" w:rsidTr="004D2834">
        <w:trPr>
          <w:trHeight w:val="20"/>
        </w:trPr>
        <w:tc>
          <w:tcPr>
            <w:tcW w:w="1463" w:type="pct"/>
            <w:gridSpan w:val="2"/>
            <w:shd w:val="clear" w:color="auto" w:fill="auto"/>
            <w:hideMark/>
          </w:tcPr>
          <w:p w14:paraId="501B5D4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Fuente de información</w:t>
            </w:r>
          </w:p>
        </w:tc>
        <w:tc>
          <w:tcPr>
            <w:tcW w:w="3537" w:type="pct"/>
            <w:shd w:val="clear" w:color="auto" w:fill="auto"/>
            <w:hideMark/>
          </w:tcPr>
          <w:p w14:paraId="44D5A2F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INAMU, Departamento Desarrollo Regional, Unidades Regionales, Sistema Integrado de Planificación y Gestión Administrativa, Financiera y de Recursos Humanos (SIPGAF)</w:t>
            </w:r>
          </w:p>
        </w:tc>
      </w:tr>
      <w:tr w:rsidR="003855FD" w:rsidRPr="0073029B" w14:paraId="52C1C911" w14:textId="77777777" w:rsidTr="004D2834">
        <w:trPr>
          <w:trHeight w:val="20"/>
        </w:trPr>
        <w:tc>
          <w:tcPr>
            <w:tcW w:w="1463" w:type="pct"/>
            <w:gridSpan w:val="2"/>
            <w:shd w:val="clear" w:color="auto" w:fill="auto"/>
            <w:hideMark/>
          </w:tcPr>
          <w:p w14:paraId="285E3AD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Clasificación</w:t>
            </w:r>
          </w:p>
        </w:tc>
        <w:tc>
          <w:tcPr>
            <w:tcW w:w="3537" w:type="pct"/>
            <w:shd w:val="clear" w:color="auto" w:fill="auto"/>
            <w:hideMark/>
          </w:tcPr>
          <w:p w14:paraId="4204F1EC"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Impacto.</w:t>
            </w:r>
            <w:r w:rsidRPr="0073029B">
              <w:rPr>
                <w:rFonts w:eastAsia="Times New Roman" w:cs="Tahoma"/>
                <w:color w:val="000000"/>
                <w:szCs w:val="16"/>
                <w:lang w:eastAsia="es-CR"/>
              </w:rPr>
              <w:br/>
              <w:t>( ) Efecto.</w:t>
            </w:r>
            <w:r w:rsidRPr="0073029B">
              <w:rPr>
                <w:rFonts w:eastAsia="Times New Roman" w:cs="Tahoma"/>
                <w:color w:val="000000"/>
                <w:szCs w:val="16"/>
                <w:lang w:eastAsia="es-CR"/>
              </w:rPr>
              <w:br/>
              <w:t>( X ) Producto.</w:t>
            </w:r>
          </w:p>
        </w:tc>
      </w:tr>
      <w:tr w:rsidR="003855FD" w:rsidRPr="0073029B" w14:paraId="0494B6B7" w14:textId="77777777" w:rsidTr="004D2834">
        <w:trPr>
          <w:trHeight w:val="20"/>
        </w:trPr>
        <w:tc>
          <w:tcPr>
            <w:tcW w:w="1463" w:type="pct"/>
            <w:gridSpan w:val="2"/>
            <w:shd w:val="clear" w:color="auto" w:fill="auto"/>
            <w:hideMark/>
          </w:tcPr>
          <w:p w14:paraId="6F4B8550"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operación estadística</w:t>
            </w:r>
          </w:p>
        </w:tc>
        <w:tc>
          <w:tcPr>
            <w:tcW w:w="3537" w:type="pct"/>
            <w:shd w:val="clear" w:color="auto" w:fill="auto"/>
            <w:hideMark/>
          </w:tcPr>
          <w:p w14:paraId="3F463CBB"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Registros administrativos de atención psicosocial y legal en cada una de las Unidades Regionales con Puntos Violeta establecidos, consolidados por el INAMU.</w:t>
            </w:r>
          </w:p>
        </w:tc>
      </w:tr>
      <w:tr w:rsidR="003855FD" w:rsidRPr="0073029B" w14:paraId="50FF0412" w14:textId="77777777" w:rsidTr="004D2834">
        <w:trPr>
          <w:trHeight w:val="20"/>
        </w:trPr>
        <w:tc>
          <w:tcPr>
            <w:tcW w:w="1463" w:type="pct"/>
            <w:gridSpan w:val="2"/>
            <w:shd w:val="clear" w:color="auto" w:fill="auto"/>
            <w:hideMark/>
          </w:tcPr>
          <w:p w14:paraId="583249B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Indicador de Objetivo de Desarrollo Sostenible (ODS) vinculado</w:t>
            </w:r>
          </w:p>
        </w:tc>
        <w:tc>
          <w:tcPr>
            <w:tcW w:w="3537" w:type="pct"/>
            <w:shd w:val="clear" w:color="auto" w:fill="auto"/>
            <w:hideMark/>
          </w:tcPr>
          <w:p w14:paraId="1C42FD60"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No existe</w:t>
            </w:r>
          </w:p>
        </w:tc>
      </w:tr>
      <w:tr w:rsidR="003855FD" w:rsidRPr="0073029B" w14:paraId="219C4522" w14:textId="77777777" w:rsidTr="004D2834">
        <w:trPr>
          <w:trHeight w:val="20"/>
        </w:trPr>
        <w:tc>
          <w:tcPr>
            <w:tcW w:w="1463" w:type="pct"/>
            <w:gridSpan w:val="2"/>
            <w:shd w:val="clear" w:color="auto" w:fill="auto"/>
            <w:hideMark/>
          </w:tcPr>
          <w:p w14:paraId="624C0938"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Tipo de relación con ODS</w:t>
            </w:r>
          </w:p>
        </w:tc>
        <w:tc>
          <w:tcPr>
            <w:tcW w:w="3537" w:type="pct"/>
            <w:shd w:val="clear" w:color="auto" w:fill="auto"/>
            <w:hideMark/>
          </w:tcPr>
          <w:p w14:paraId="1A0A8BA7" w14:textId="77777777" w:rsidR="003855FD" w:rsidRPr="0073029B" w:rsidRDefault="003855FD" w:rsidP="004D2834">
            <w:pPr>
              <w:spacing w:after="0" w:line="240" w:lineRule="auto"/>
              <w:rPr>
                <w:rFonts w:eastAsia="Times New Roman" w:cs="Tahoma"/>
                <w:color w:val="000000"/>
                <w:szCs w:val="16"/>
                <w:lang w:eastAsia="es-CR"/>
              </w:rPr>
            </w:pPr>
            <w:proofErr w:type="gramStart"/>
            <w:r w:rsidRPr="0073029B">
              <w:rPr>
                <w:rFonts w:eastAsia="Times New Roman" w:cs="Tahoma"/>
                <w:color w:val="000000"/>
                <w:szCs w:val="16"/>
                <w:lang w:eastAsia="es-CR"/>
              </w:rPr>
              <w:t>( )</w:t>
            </w:r>
            <w:proofErr w:type="gramEnd"/>
            <w:r w:rsidRPr="0073029B">
              <w:rPr>
                <w:rFonts w:eastAsia="Times New Roman" w:cs="Tahoma"/>
                <w:color w:val="000000"/>
                <w:szCs w:val="16"/>
                <w:lang w:eastAsia="es-CR"/>
              </w:rPr>
              <w:t xml:space="preserve"> Directa</w:t>
            </w:r>
            <w:r w:rsidRPr="0073029B">
              <w:rPr>
                <w:rFonts w:eastAsia="Times New Roman" w:cs="Tahoma"/>
                <w:color w:val="000000"/>
                <w:szCs w:val="16"/>
                <w:lang w:eastAsia="es-CR"/>
              </w:rPr>
              <w:br/>
              <w:t>() Indirecta</w:t>
            </w:r>
          </w:p>
        </w:tc>
      </w:tr>
      <w:tr w:rsidR="003855FD" w:rsidRPr="0073029B" w14:paraId="701061C4" w14:textId="77777777" w:rsidTr="004D2834">
        <w:trPr>
          <w:trHeight w:val="20"/>
        </w:trPr>
        <w:tc>
          <w:tcPr>
            <w:tcW w:w="1463" w:type="pct"/>
            <w:gridSpan w:val="2"/>
            <w:shd w:val="clear" w:color="auto" w:fill="auto"/>
            <w:hideMark/>
          </w:tcPr>
          <w:p w14:paraId="0314FD6D"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Medida priorizada por el Consenso de Montevideo</w:t>
            </w:r>
          </w:p>
        </w:tc>
        <w:tc>
          <w:tcPr>
            <w:tcW w:w="3537" w:type="pct"/>
            <w:shd w:val="clear" w:color="auto" w:fill="auto"/>
            <w:hideMark/>
          </w:tcPr>
          <w:p w14:paraId="574AEA6E"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E. 57, E.58,</w:t>
            </w:r>
          </w:p>
        </w:tc>
      </w:tr>
      <w:tr w:rsidR="003855FD" w:rsidRPr="0073029B" w14:paraId="3A2A81BF" w14:textId="77777777" w:rsidTr="004D2834">
        <w:trPr>
          <w:trHeight w:val="20"/>
        </w:trPr>
        <w:tc>
          <w:tcPr>
            <w:tcW w:w="1463" w:type="pct"/>
            <w:gridSpan w:val="2"/>
            <w:shd w:val="clear" w:color="auto" w:fill="auto"/>
            <w:hideMark/>
          </w:tcPr>
          <w:p w14:paraId="3F838AF3"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Vinculación con el Plan Regional de Desarrollo</w:t>
            </w:r>
          </w:p>
        </w:tc>
        <w:tc>
          <w:tcPr>
            <w:tcW w:w="3537" w:type="pct"/>
            <w:shd w:val="clear" w:color="auto" w:fill="auto"/>
            <w:hideMark/>
          </w:tcPr>
          <w:p w14:paraId="347651BD" w14:textId="77777777" w:rsidR="003855FD" w:rsidRPr="0073029B" w:rsidRDefault="003855FD" w:rsidP="004D2834">
            <w:pPr>
              <w:spacing w:after="0" w:line="240" w:lineRule="auto"/>
              <w:rPr>
                <w:rFonts w:eastAsia="Times New Roman" w:cs="Tahoma"/>
                <w:color w:val="000000"/>
                <w:szCs w:val="16"/>
                <w:lang w:eastAsia="es-CR"/>
              </w:rPr>
            </w:pPr>
            <w:r w:rsidRPr="0073029B">
              <w:rPr>
                <w:rFonts w:eastAsia="Times New Roman" w:cs="Tahoma"/>
                <w:color w:val="000000"/>
                <w:szCs w:val="16"/>
                <w:lang w:eastAsia="es-CR"/>
              </w:rPr>
              <w:t>PRD. Central: 1.3.2.</w:t>
            </w:r>
            <w:r w:rsidRPr="0073029B">
              <w:rPr>
                <w:rFonts w:eastAsia="Times New Roman" w:cs="Tahoma"/>
                <w:color w:val="000000"/>
                <w:szCs w:val="16"/>
                <w:lang w:eastAsia="es-CR"/>
              </w:rPr>
              <w:br/>
              <w:t>PRD. Brunca: 2.2</w:t>
            </w:r>
            <w:r w:rsidRPr="0073029B">
              <w:rPr>
                <w:rFonts w:eastAsia="Times New Roman" w:cs="Tahoma"/>
                <w:color w:val="000000"/>
                <w:szCs w:val="16"/>
                <w:lang w:eastAsia="es-CR"/>
              </w:rPr>
              <w:br/>
              <w:t>PRD. Pacífico Central: 3.3</w:t>
            </w:r>
            <w:r w:rsidRPr="0073029B">
              <w:rPr>
                <w:rFonts w:eastAsia="Times New Roman" w:cs="Tahoma"/>
                <w:color w:val="000000"/>
                <w:szCs w:val="16"/>
                <w:lang w:eastAsia="es-CR"/>
              </w:rPr>
              <w:br/>
              <w:t>PRD. Chorotega:4.2.2.</w:t>
            </w:r>
            <w:r w:rsidRPr="0073029B">
              <w:rPr>
                <w:rFonts w:eastAsia="Times New Roman" w:cs="Tahoma"/>
                <w:color w:val="000000"/>
                <w:szCs w:val="16"/>
                <w:lang w:eastAsia="es-CR"/>
              </w:rPr>
              <w:br/>
              <w:t>PRD. Huetar Caribe: 5.2.2.</w:t>
            </w:r>
            <w:r w:rsidRPr="0073029B">
              <w:rPr>
                <w:rFonts w:eastAsia="Times New Roman" w:cs="Tahoma"/>
                <w:color w:val="000000"/>
                <w:szCs w:val="16"/>
                <w:lang w:eastAsia="es-CR"/>
              </w:rPr>
              <w:br/>
              <w:t>PRD. Huetar Norte: 6.2.</w:t>
            </w:r>
          </w:p>
        </w:tc>
      </w:tr>
      <w:tr w:rsidR="003855FD" w:rsidRPr="0073029B" w14:paraId="2FEEEAD3" w14:textId="77777777" w:rsidTr="004D2834">
        <w:trPr>
          <w:trHeight w:val="20"/>
        </w:trPr>
        <w:tc>
          <w:tcPr>
            <w:tcW w:w="1463" w:type="pct"/>
            <w:gridSpan w:val="2"/>
            <w:shd w:val="clear" w:color="auto" w:fill="auto"/>
            <w:hideMark/>
          </w:tcPr>
          <w:p w14:paraId="0BC05E2C" w14:textId="77777777" w:rsidR="003855FD" w:rsidRPr="0073029B" w:rsidRDefault="003855FD" w:rsidP="004D2834">
            <w:pPr>
              <w:spacing w:after="0" w:line="240" w:lineRule="auto"/>
              <w:rPr>
                <w:rFonts w:eastAsia="Times New Roman" w:cs="Tahoma"/>
                <w:b/>
                <w:bCs/>
                <w:color w:val="000000"/>
                <w:szCs w:val="16"/>
                <w:lang w:eastAsia="es-CR"/>
              </w:rPr>
            </w:pPr>
            <w:r w:rsidRPr="0073029B">
              <w:rPr>
                <w:rFonts w:eastAsia="Times New Roman" w:cs="Tahoma"/>
                <w:b/>
                <w:bCs/>
                <w:color w:val="000000"/>
                <w:szCs w:val="16"/>
                <w:lang w:eastAsia="es-CR"/>
              </w:rPr>
              <w:t>Comentarios generales</w:t>
            </w:r>
          </w:p>
        </w:tc>
        <w:tc>
          <w:tcPr>
            <w:tcW w:w="3537" w:type="pct"/>
            <w:shd w:val="clear" w:color="auto" w:fill="auto"/>
            <w:hideMark/>
          </w:tcPr>
          <w:p w14:paraId="6DE97308"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color w:val="000000"/>
                <w:szCs w:val="16"/>
                <w:lang w:eastAsia="es-CR"/>
              </w:rPr>
              <w:t xml:space="preserve">Esta estrategia corresponde al Eje 4 de la Política Nacional para la atención, prevención y protección de las mujeres contra violencia - PLANOVI- 2017-2032 y se desarrolla a partir de varias acciones estratégicas. En este caso nos referimos a la acción estratégica 4.3 asociada al “Desarrollo de respuestas institucionales efectivas para el acceso real a la justicia de las mujeres que enfrentan diversas situaciones de </w:t>
            </w:r>
            <w:proofErr w:type="spellStart"/>
            <w:r w:rsidRPr="0073029B">
              <w:rPr>
                <w:rFonts w:eastAsia="Times New Roman" w:cs="Tahoma"/>
                <w:color w:val="000000"/>
                <w:szCs w:val="16"/>
                <w:lang w:eastAsia="es-CR"/>
              </w:rPr>
              <w:t>VcM</w:t>
            </w:r>
            <w:proofErr w:type="spellEnd"/>
            <w:r w:rsidRPr="0073029B">
              <w:rPr>
                <w:rFonts w:eastAsia="Times New Roman" w:cs="Tahoma"/>
                <w:color w:val="000000"/>
                <w:szCs w:val="16"/>
                <w:lang w:eastAsia="es-CR"/>
              </w:rPr>
              <w:t>”, en la cual colaboran diferentes instituciones públicas del Poder Ejecutivo.</w:t>
            </w:r>
          </w:p>
        </w:tc>
      </w:tr>
      <w:tr w:rsidR="003855FD" w:rsidRPr="0073029B" w14:paraId="15B6343B" w14:textId="77777777" w:rsidTr="004D2834">
        <w:trPr>
          <w:trHeight w:val="20"/>
        </w:trPr>
        <w:tc>
          <w:tcPr>
            <w:tcW w:w="1463" w:type="pct"/>
            <w:gridSpan w:val="2"/>
            <w:shd w:val="clear" w:color="auto" w:fill="003A70"/>
            <w:hideMark/>
          </w:tcPr>
          <w:p w14:paraId="7BB3704C" w14:textId="77777777" w:rsidR="003855FD" w:rsidRPr="0073029B" w:rsidRDefault="003855FD" w:rsidP="004D2834">
            <w:pPr>
              <w:spacing w:after="0" w:line="240" w:lineRule="auto"/>
              <w:rPr>
                <w:rFonts w:eastAsia="Times New Roman" w:cs="Tahoma"/>
                <w:b/>
                <w:bCs/>
                <w:color w:val="FFFFFF" w:themeColor="background1"/>
                <w:szCs w:val="16"/>
                <w:lang w:eastAsia="es-CR"/>
              </w:rPr>
            </w:pPr>
            <w:r w:rsidRPr="0073029B">
              <w:rPr>
                <w:rFonts w:eastAsia="Times New Roman" w:cs="Tahoma"/>
                <w:b/>
                <w:bCs/>
                <w:color w:val="FFFFFF" w:themeColor="background1"/>
                <w:szCs w:val="16"/>
                <w:lang w:eastAsia="es-CR"/>
              </w:rPr>
              <w:t>C</w:t>
            </w:r>
            <w:r w:rsidRPr="0073029B">
              <w:rPr>
                <w:rFonts w:eastAsia="Times New Roman" w:cs="Tahoma"/>
                <w:b/>
                <w:bCs/>
                <w:color w:val="FFFFFF" w:themeColor="background1"/>
                <w:szCs w:val="16"/>
                <w:shd w:val="clear" w:color="auto" w:fill="003A70"/>
                <w:lang w:eastAsia="es-CR"/>
              </w:rPr>
              <w:t>ontrol de actualizaciones del indicador</w:t>
            </w:r>
            <w:r w:rsidRPr="0073029B">
              <w:rPr>
                <w:rFonts w:eastAsia="Times New Roman" w:cs="Tahoma"/>
                <w:b/>
                <w:bCs/>
                <w:color w:val="FFFFFF" w:themeColor="background1"/>
                <w:szCs w:val="16"/>
                <w:lang w:eastAsia="es-CR"/>
              </w:rPr>
              <w:t xml:space="preserve"> </w:t>
            </w:r>
          </w:p>
        </w:tc>
        <w:tc>
          <w:tcPr>
            <w:tcW w:w="3537" w:type="pct"/>
            <w:shd w:val="clear" w:color="auto" w:fill="auto"/>
            <w:hideMark/>
          </w:tcPr>
          <w:p w14:paraId="2DE81709"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2023:</w:t>
            </w:r>
            <w:r w:rsidRPr="0073029B">
              <w:rPr>
                <w:rFonts w:eastAsia="Times New Roman" w:cs="Tahoma"/>
                <w:color w:val="000000"/>
                <w:szCs w:val="16"/>
                <w:lang w:eastAsia="es-CR"/>
              </w:rPr>
              <w:t xml:space="preserve"> Se modificó el nombre del indicador, la definición conceptual, los componentes de la fórmula de cálculo, Unidad de medida, la interpretación, la fuente de información y los comentarios generales. Oficio de aprobación MIDEPLAN-DM-OF-0014-2024 (rige a partir de 2024).</w:t>
            </w:r>
          </w:p>
          <w:p w14:paraId="3BC87ED3" w14:textId="77777777" w:rsidR="003855FD" w:rsidRPr="0073029B" w:rsidRDefault="003855FD" w:rsidP="004D2834">
            <w:pPr>
              <w:spacing w:after="0" w:line="240" w:lineRule="auto"/>
              <w:jc w:val="both"/>
              <w:rPr>
                <w:rFonts w:eastAsia="Times New Roman" w:cs="Tahoma"/>
                <w:color w:val="000000"/>
                <w:szCs w:val="16"/>
                <w:lang w:eastAsia="es-CR"/>
              </w:rPr>
            </w:pPr>
            <w:r w:rsidRPr="0073029B">
              <w:rPr>
                <w:rFonts w:eastAsia="Times New Roman" w:cs="Tahoma"/>
                <w:b/>
                <w:bCs/>
                <w:color w:val="000000"/>
                <w:szCs w:val="16"/>
                <w:lang w:eastAsia="es-CR"/>
              </w:rPr>
              <w:t>2025:</w:t>
            </w:r>
            <w:r w:rsidRPr="0073029B">
              <w:rPr>
                <w:rFonts w:eastAsia="Times New Roman" w:cs="Tahoma"/>
                <w:color w:val="000000"/>
                <w:szCs w:val="16"/>
                <w:lang w:eastAsia="es-CR"/>
              </w:rPr>
              <w:t xml:space="preserve"> Se modificó el nombre del indicador, la definición conceptual, los componentes de la fórmula de cálculo, la unidad de medida, el responsable, la fuente de información y el tipo de operación estadística. Oficio de aprobación CARTA-MIDEPLAN-DVM-0192-2025 (rige a partir de 2025).</w:t>
            </w:r>
          </w:p>
        </w:tc>
      </w:tr>
    </w:tbl>
    <w:p w14:paraId="01A85F09" w14:textId="1CFDB786" w:rsidR="001E06E5" w:rsidRPr="0073029B" w:rsidRDefault="003855FD" w:rsidP="00D504A3">
      <w:pPr>
        <w:pStyle w:val="Default"/>
        <w:rPr>
          <w:rFonts w:cs="Tahoma"/>
        </w:rPr>
      </w:pPr>
      <w:r w:rsidRPr="0073029B">
        <w:rPr>
          <w:rFonts w:ascii="Tahoma" w:eastAsia="Arial Narrow" w:hAnsi="Tahoma" w:cs="Tahoma"/>
          <w:sz w:val="16"/>
          <w:szCs w:val="16"/>
        </w:rPr>
        <w:t xml:space="preserve">Fuente: </w:t>
      </w:r>
      <w:r w:rsidRPr="0073029B">
        <w:rPr>
          <w:rFonts w:ascii="Tahoma" w:eastAsia="Times New Roman" w:hAnsi="Tahoma" w:cs="Tahoma"/>
          <w:sz w:val="16"/>
          <w:szCs w:val="16"/>
          <w:lang w:eastAsia="es-CR"/>
        </w:rPr>
        <w:t>Instituto Nacional de las Mujeres (INAMU).</w:t>
      </w:r>
      <w:bookmarkEnd w:id="80"/>
    </w:p>
    <w:sectPr w:rsidR="001E06E5" w:rsidRPr="0073029B" w:rsidSect="00A36518">
      <w:footerReference w:type="default" r:id="rId31"/>
      <w:pgSz w:w="12242" w:h="15842" w:code="1"/>
      <w:pgMar w:top="1418" w:right="1418" w:bottom="1418" w:left="149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F8AE9" w14:textId="77777777" w:rsidR="00905218" w:rsidRDefault="00905218" w:rsidP="00BD5F12">
      <w:pPr>
        <w:spacing w:after="0" w:line="240" w:lineRule="auto"/>
      </w:pPr>
      <w:r>
        <w:separator/>
      </w:r>
    </w:p>
  </w:endnote>
  <w:endnote w:type="continuationSeparator" w:id="0">
    <w:p w14:paraId="22642567" w14:textId="77777777" w:rsidR="00905218" w:rsidRDefault="00905218" w:rsidP="00BD5F12">
      <w:pPr>
        <w:spacing w:after="0" w:line="240" w:lineRule="auto"/>
      </w:pPr>
      <w:r>
        <w:continuationSeparator/>
      </w:r>
    </w:p>
  </w:endnote>
  <w:endnote w:type="continuationNotice" w:id="1">
    <w:p w14:paraId="314231DE" w14:textId="77777777" w:rsidR="00905218" w:rsidRDefault="009052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AAAAB+ArialNarrow">
    <w:altName w:val="Arial Narrow"/>
    <w:panose1 w:val="00000000000000000000"/>
    <w:charset w:val="00"/>
    <w:family w:val="swiss"/>
    <w:notTrueType/>
    <w:pitch w:val="default"/>
    <w:sig w:usb0="00000003" w:usb1="00000000" w:usb2="00000000" w:usb3="00000000" w:csb0="00000001" w:csb1="00000000"/>
  </w:font>
  <w:font w:name="HendersonSansW00-BasicLight">
    <w:altName w:val="Calibri"/>
    <w:charset w:val="00"/>
    <w:family w:val="auto"/>
    <w:pitch w:val="variable"/>
    <w:sig w:usb0="A0000027" w:usb1="00000000" w:usb2="00000000" w:usb3="00000000" w:csb0="00000001" w:csb1="00000000"/>
  </w:font>
  <w:font w:name="HendersonSansW00-BasicSmBd">
    <w:altName w:val="Calibri"/>
    <w:charset w:val="00"/>
    <w:family w:val="auto"/>
    <w:pitch w:val="variable"/>
    <w:sig w:usb0="A0000027"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ahoma"/>
        <w:sz w:val="18"/>
        <w:szCs w:val="18"/>
        <w:lang w:val="x-none" w:eastAsia="x-none"/>
      </w:rPr>
      <w:id w:val="-82456007"/>
      <w:docPartObj>
        <w:docPartGallery w:val="Page Numbers (Bottom of Page)"/>
        <w:docPartUnique/>
      </w:docPartObj>
    </w:sdtPr>
    <w:sdtEndPr>
      <w:rPr>
        <w:lang w:val="es-CR" w:eastAsia="en-US"/>
      </w:rPr>
    </w:sdtEndPr>
    <w:sdtContent>
      <w:sdt>
        <w:sdtPr>
          <w:rPr>
            <w:rFonts w:cs="Tahoma"/>
            <w:sz w:val="18"/>
            <w:szCs w:val="18"/>
            <w:lang w:val="x-none" w:eastAsia="x-none"/>
          </w:rPr>
          <w:id w:val="1062910491"/>
          <w:docPartObj>
            <w:docPartGallery w:val="Page Numbers (Top of Page)"/>
            <w:docPartUnique/>
          </w:docPartObj>
        </w:sdtPr>
        <w:sdtEndPr>
          <w:rPr>
            <w:lang w:val="es-CR" w:eastAsia="en-US"/>
          </w:rPr>
        </w:sdtEndPr>
        <w:sdtContent>
          <w:tbl>
            <w:tblPr>
              <w:tblW w:w="5000" w:type="pct"/>
              <w:tblLook w:val="04A0" w:firstRow="1" w:lastRow="0" w:firstColumn="1" w:lastColumn="0" w:noHBand="0" w:noVBand="1"/>
            </w:tblPr>
            <w:tblGrid>
              <w:gridCol w:w="1945"/>
              <w:gridCol w:w="899"/>
              <w:gridCol w:w="6479"/>
            </w:tblGrid>
            <w:tr w:rsidR="00596D02" w14:paraId="46F6749A" w14:textId="77777777" w:rsidTr="00FC1944">
              <w:trPr>
                <w:trHeight w:val="64"/>
              </w:trPr>
              <w:tc>
                <w:tcPr>
                  <w:tcW w:w="1043" w:type="pct"/>
                  <w:tcBorders>
                    <w:top w:val="nil"/>
                    <w:left w:val="nil"/>
                    <w:bottom w:val="nil"/>
                    <w:right w:val="single" w:sz="8" w:space="0" w:color="003C76"/>
                  </w:tcBorders>
                </w:tcPr>
                <w:p w14:paraId="6843BECE" w14:textId="77777777" w:rsidR="00596D02" w:rsidRPr="00927ADA" w:rsidRDefault="00596D02" w:rsidP="00FC1944">
                  <w:pPr>
                    <w:spacing w:after="0" w:line="240" w:lineRule="auto"/>
                    <w:jc w:val="right"/>
                    <w:rPr>
                      <w:rFonts w:cs="Tahoma"/>
                      <w:sz w:val="6"/>
                      <w:szCs w:val="2"/>
                    </w:rPr>
                  </w:pPr>
                </w:p>
              </w:tc>
              <w:tc>
                <w:tcPr>
                  <w:tcW w:w="482" w:type="pct"/>
                  <w:tcBorders>
                    <w:top w:val="single" w:sz="8" w:space="0" w:color="003C76"/>
                    <w:left w:val="single" w:sz="8" w:space="0" w:color="003C76"/>
                    <w:bottom w:val="nil"/>
                    <w:right w:val="nil"/>
                  </w:tcBorders>
                </w:tcPr>
                <w:p w14:paraId="09FBE471" w14:textId="77777777" w:rsidR="00596D02" w:rsidRPr="00927ADA" w:rsidRDefault="00596D02" w:rsidP="00FC1944">
                  <w:pPr>
                    <w:spacing w:after="0" w:line="240" w:lineRule="auto"/>
                    <w:jc w:val="right"/>
                    <w:rPr>
                      <w:rFonts w:cs="Tahoma"/>
                      <w:sz w:val="6"/>
                      <w:szCs w:val="2"/>
                    </w:rPr>
                  </w:pPr>
                </w:p>
              </w:tc>
              <w:tc>
                <w:tcPr>
                  <w:tcW w:w="3475" w:type="pct"/>
                  <w:vMerge w:val="restart"/>
                  <w:tcBorders>
                    <w:top w:val="single" w:sz="8" w:space="0" w:color="003C76"/>
                    <w:left w:val="nil"/>
                    <w:bottom w:val="single" w:sz="8" w:space="0" w:color="003C76"/>
                    <w:right w:val="single" w:sz="8" w:space="0" w:color="003C76"/>
                  </w:tcBorders>
                  <w:vAlign w:val="center"/>
                  <w:hideMark/>
                </w:tcPr>
                <w:p w14:paraId="1F778357" w14:textId="77777777" w:rsidR="00596D02" w:rsidRPr="00927ADA" w:rsidRDefault="00596D02" w:rsidP="00FC1944">
                  <w:pPr>
                    <w:spacing w:after="0" w:line="240" w:lineRule="auto"/>
                    <w:jc w:val="right"/>
                    <w:rPr>
                      <w:rFonts w:cs="Tahoma"/>
                      <w:sz w:val="18"/>
                      <w:szCs w:val="18"/>
                    </w:rPr>
                  </w:pPr>
                  <w:r w:rsidRPr="00927ADA">
                    <w:rPr>
                      <w:rFonts w:cs="Tahoma"/>
                      <w:sz w:val="18"/>
                      <w:szCs w:val="18"/>
                    </w:rPr>
                    <w:t xml:space="preserve">Página Web: </w:t>
                  </w:r>
                  <w:hyperlink r:id="rId1" w:history="1">
                    <w:r w:rsidRPr="00927ADA">
                      <w:rPr>
                        <w:rStyle w:val="Hipervnculo"/>
                        <w:rFonts w:cs="Tahoma"/>
                        <w:sz w:val="18"/>
                        <w:szCs w:val="18"/>
                      </w:rPr>
                      <w:t>www.mjp.go.cr</w:t>
                    </w:r>
                  </w:hyperlink>
                </w:p>
              </w:tc>
            </w:tr>
            <w:tr w:rsidR="00596D02" w14:paraId="0B5C4017" w14:textId="77777777" w:rsidTr="00FC1944">
              <w:trPr>
                <w:trHeight w:val="317"/>
              </w:trPr>
              <w:tc>
                <w:tcPr>
                  <w:tcW w:w="1525" w:type="pct"/>
                  <w:gridSpan w:val="2"/>
                  <w:shd w:val="clear" w:color="auto" w:fill="003C76"/>
                  <w:vAlign w:val="center"/>
                  <w:hideMark/>
                </w:tcPr>
                <w:p w14:paraId="77E4032C" w14:textId="77777777" w:rsidR="00596D02" w:rsidRPr="00927ADA" w:rsidRDefault="00596D02" w:rsidP="00FC1944">
                  <w:pPr>
                    <w:spacing w:after="0" w:line="240" w:lineRule="auto"/>
                    <w:jc w:val="center"/>
                    <w:rPr>
                      <w:rFonts w:cs="Tahoma"/>
                      <w:b/>
                      <w:color w:val="FFFFFF" w:themeColor="background1"/>
                      <w:sz w:val="14"/>
                    </w:rPr>
                  </w:pPr>
                  <w:r w:rsidRPr="00927ADA">
                    <w:rPr>
                      <w:rFonts w:cs="Tahoma"/>
                      <w:b/>
                      <w:color w:val="FFFFFF" w:themeColor="background1"/>
                    </w:rPr>
                    <w:t>Ministerio de Justicia y Paz</w:t>
                  </w:r>
                </w:p>
              </w:tc>
              <w:tc>
                <w:tcPr>
                  <w:tcW w:w="3475" w:type="pct"/>
                  <w:vMerge/>
                  <w:tcBorders>
                    <w:top w:val="single" w:sz="8" w:space="0" w:color="003C76"/>
                    <w:left w:val="nil"/>
                    <w:bottom w:val="single" w:sz="8" w:space="0" w:color="003C76"/>
                    <w:right w:val="single" w:sz="8" w:space="0" w:color="003C76"/>
                  </w:tcBorders>
                  <w:vAlign w:val="center"/>
                  <w:hideMark/>
                </w:tcPr>
                <w:p w14:paraId="015A96EA" w14:textId="77777777" w:rsidR="00596D02" w:rsidRPr="00927ADA" w:rsidRDefault="00596D02" w:rsidP="00FC1944">
                  <w:pPr>
                    <w:spacing w:after="0" w:line="240" w:lineRule="auto"/>
                    <w:rPr>
                      <w:rFonts w:cs="Tahoma"/>
                      <w:color w:val="FFFFFF" w:themeColor="background1"/>
                      <w:szCs w:val="16"/>
                    </w:rPr>
                  </w:pPr>
                </w:p>
              </w:tc>
            </w:tr>
            <w:tr w:rsidR="00596D02" w14:paraId="7E085C25" w14:textId="77777777" w:rsidTr="00FC1944">
              <w:trPr>
                <w:trHeight w:val="27"/>
              </w:trPr>
              <w:tc>
                <w:tcPr>
                  <w:tcW w:w="1043" w:type="pct"/>
                  <w:tcBorders>
                    <w:top w:val="nil"/>
                    <w:left w:val="nil"/>
                    <w:bottom w:val="nil"/>
                    <w:right w:val="single" w:sz="8" w:space="0" w:color="003C76"/>
                  </w:tcBorders>
                </w:tcPr>
                <w:p w14:paraId="6D1364DB" w14:textId="77777777" w:rsidR="00596D02" w:rsidRPr="00927ADA" w:rsidRDefault="00596D02" w:rsidP="00FC1944">
                  <w:pPr>
                    <w:spacing w:after="0" w:line="240" w:lineRule="auto"/>
                    <w:jc w:val="right"/>
                    <w:rPr>
                      <w:rFonts w:cs="Tahoma"/>
                      <w:sz w:val="6"/>
                      <w:szCs w:val="2"/>
                    </w:rPr>
                  </w:pPr>
                </w:p>
              </w:tc>
              <w:tc>
                <w:tcPr>
                  <w:tcW w:w="482" w:type="pct"/>
                  <w:tcBorders>
                    <w:top w:val="nil"/>
                    <w:left w:val="single" w:sz="8" w:space="0" w:color="003C76"/>
                    <w:bottom w:val="single" w:sz="8" w:space="0" w:color="003C76"/>
                    <w:right w:val="nil"/>
                  </w:tcBorders>
                </w:tcPr>
                <w:p w14:paraId="1C111B3C" w14:textId="77777777" w:rsidR="00596D02" w:rsidRPr="00927ADA" w:rsidRDefault="00596D02" w:rsidP="00FC1944">
                  <w:pPr>
                    <w:spacing w:after="0" w:line="240" w:lineRule="auto"/>
                    <w:jc w:val="right"/>
                    <w:rPr>
                      <w:rFonts w:cs="Tahoma"/>
                      <w:sz w:val="6"/>
                      <w:szCs w:val="2"/>
                    </w:rPr>
                  </w:pPr>
                </w:p>
              </w:tc>
              <w:tc>
                <w:tcPr>
                  <w:tcW w:w="3475" w:type="pct"/>
                  <w:vMerge/>
                  <w:tcBorders>
                    <w:top w:val="single" w:sz="8" w:space="0" w:color="003C76"/>
                    <w:left w:val="nil"/>
                    <w:bottom w:val="single" w:sz="8" w:space="0" w:color="003C76"/>
                    <w:right w:val="single" w:sz="8" w:space="0" w:color="003C76"/>
                  </w:tcBorders>
                  <w:vAlign w:val="center"/>
                  <w:hideMark/>
                </w:tcPr>
                <w:p w14:paraId="574E9DCB" w14:textId="77777777" w:rsidR="00596D02" w:rsidRPr="00927ADA" w:rsidRDefault="00596D02" w:rsidP="00FC1944">
                  <w:pPr>
                    <w:spacing w:after="0" w:line="240" w:lineRule="auto"/>
                    <w:rPr>
                      <w:rFonts w:cs="Tahoma"/>
                      <w:szCs w:val="16"/>
                    </w:rPr>
                  </w:pPr>
                </w:p>
              </w:tc>
            </w:tr>
          </w:tbl>
          <w:p w14:paraId="21C3EAC2" w14:textId="77777777" w:rsidR="00596D02" w:rsidRPr="00FC1944" w:rsidRDefault="00596D02" w:rsidP="00FC1944">
            <w:pPr>
              <w:pStyle w:val="Piedepgina"/>
              <w:jc w:val="right"/>
              <w:rPr>
                <w:rFonts w:cs="Tahoma"/>
              </w:rPr>
            </w:pPr>
            <w:r w:rsidRPr="00927ADA">
              <w:rPr>
                <w:rFonts w:cs="Tahoma"/>
                <w:lang w:val="es-MX"/>
              </w:rPr>
              <w:t xml:space="preserve">Página </w:t>
            </w:r>
            <w:r w:rsidRPr="00927ADA">
              <w:rPr>
                <w:rFonts w:cs="Tahoma"/>
              </w:rPr>
              <w:fldChar w:fldCharType="begin"/>
            </w:r>
            <w:r w:rsidRPr="00927ADA">
              <w:rPr>
                <w:rFonts w:cs="Tahoma"/>
              </w:rPr>
              <w:instrText xml:space="preserve"> PAGE   \* MERGEFORMAT </w:instrText>
            </w:r>
            <w:r w:rsidRPr="00927ADA">
              <w:rPr>
                <w:rFonts w:cs="Tahoma"/>
              </w:rPr>
              <w:fldChar w:fldCharType="separate"/>
            </w:r>
            <w:r>
              <w:rPr>
                <w:rFonts w:cs="Tahoma"/>
              </w:rPr>
              <w:t>1</w:t>
            </w:r>
            <w:r w:rsidRPr="00927ADA">
              <w:rPr>
                <w:rFonts w:cs="Tahoma"/>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ahoma"/>
        <w:sz w:val="18"/>
        <w:szCs w:val="18"/>
        <w:lang w:val="x-none" w:eastAsia="x-none"/>
      </w:rPr>
      <w:id w:val="-1641494364"/>
      <w:docPartObj>
        <w:docPartGallery w:val="Page Numbers (Bottom of Page)"/>
        <w:docPartUnique/>
      </w:docPartObj>
    </w:sdtPr>
    <w:sdtEndPr>
      <w:rPr>
        <w:lang w:val="es-CR" w:eastAsia="en-US"/>
      </w:rPr>
    </w:sdtEndPr>
    <w:sdtContent>
      <w:sdt>
        <w:sdtPr>
          <w:rPr>
            <w:rFonts w:cs="Tahoma"/>
            <w:sz w:val="18"/>
            <w:szCs w:val="18"/>
            <w:lang w:val="x-none" w:eastAsia="x-none"/>
          </w:rPr>
          <w:id w:val="-1476677989"/>
          <w:docPartObj>
            <w:docPartGallery w:val="Page Numbers (Top of Page)"/>
            <w:docPartUnique/>
          </w:docPartObj>
        </w:sdtPr>
        <w:sdtEndPr>
          <w:rPr>
            <w:lang w:val="es-CR" w:eastAsia="en-US"/>
          </w:rPr>
        </w:sdtEndPr>
        <w:sdtContent>
          <w:tbl>
            <w:tblPr>
              <w:tblW w:w="5000" w:type="pct"/>
              <w:tblLook w:val="04A0" w:firstRow="1" w:lastRow="0" w:firstColumn="1" w:lastColumn="0" w:noHBand="0" w:noVBand="1"/>
            </w:tblPr>
            <w:tblGrid>
              <w:gridCol w:w="1842"/>
              <w:gridCol w:w="851"/>
              <w:gridCol w:w="6136"/>
            </w:tblGrid>
            <w:tr w:rsidR="001618C7" w14:paraId="159A5662" w14:textId="77777777" w:rsidTr="00FC1944">
              <w:trPr>
                <w:trHeight w:val="64"/>
              </w:trPr>
              <w:tc>
                <w:tcPr>
                  <w:tcW w:w="1043" w:type="pct"/>
                  <w:tcBorders>
                    <w:top w:val="nil"/>
                    <w:left w:val="nil"/>
                    <w:bottom w:val="nil"/>
                    <w:right w:val="single" w:sz="8" w:space="0" w:color="003C76"/>
                  </w:tcBorders>
                </w:tcPr>
                <w:p w14:paraId="6FCC6BA1" w14:textId="77777777" w:rsidR="001618C7" w:rsidRPr="00927ADA" w:rsidRDefault="001618C7" w:rsidP="00FC1944">
                  <w:pPr>
                    <w:spacing w:after="0" w:line="240" w:lineRule="auto"/>
                    <w:jc w:val="right"/>
                    <w:rPr>
                      <w:rFonts w:cs="Tahoma"/>
                      <w:sz w:val="6"/>
                      <w:szCs w:val="2"/>
                    </w:rPr>
                  </w:pPr>
                </w:p>
              </w:tc>
              <w:tc>
                <w:tcPr>
                  <w:tcW w:w="482" w:type="pct"/>
                  <w:tcBorders>
                    <w:top w:val="single" w:sz="8" w:space="0" w:color="003C76"/>
                    <w:left w:val="single" w:sz="8" w:space="0" w:color="003C76"/>
                    <w:bottom w:val="nil"/>
                    <w:right w:val="nil"/>
                  </w:tcBorders>
                </w:tcPr>
                <w:p w14:paraId="1049F6ED" w14:textId="77777777" w:rsidR="001618C7" w:rsidRPr="00927ADA" w:rsidRDefault="001618C7" w:rsidP="00FC1944">
                  <w:pPr>
                    <w:spacing w:after="0" w:line="240" w:lineRule="auto"/>
                    <w:jc w:val="right"/>
                    <w:rPr>
                      <w:rFonts w:cs="Tahoma"/>
                      <w:sz w:val="6"/>
                      <w:szCs w:val="2"/>
                    </w:rPr>
                  </w:pPr>
                </w:p>
              </w:tc>
              <w:tc>
                <w:tcPr>
                  <w:tcW w:w="3475" w:type="pct"/>
                  <w:vMerge w:val="restart"/>
                  <w:tcBorders>
                    <w:top w:val="single" w:sz="8" w:space="0" w:color="003C76"/>
                    <w:left w:val="nil"/>
                    <w:bottom w:val="single" w:sz="8" w:space="0" w:color="003C76"/>
                    <w:right w:val="single" w:sz="8" w:space="0" w:color="003C76"/>
                  </w:tcBorders>
                  <w:vAlign w:val="center"/>
                  <w:hideMark/>
                </w:tcPr>
                <w:p w14:paraId="0092AA42" w14:textId="77777777" w:rsidR="001618C7" w:rsidRPr="00927ADA" w:rsidRDefault="001618C7" w:rsidP="00FC1944">
                  <w:pPr>
                    <w:spacing w:after="0" w:line="240" w:lineRule="auto"/>
                    <w:jc w:val="right"/>
                    <w:rPr>
                      <w:rFonts w:cs="Tahoma"/>
                      <w:sz w:val="18"/>
                      <w:szCs w:val="18"/>
                    </w:rPr>
                  </w:pPr>
                  <w:r w:rsidRPr="00927ADA">
                    <w:rPr>
                      <w:rFonts w:cs="Tahoma"/>
                      <w:sz w:val="18"/>
                      <w:szCs w:val="18"/>
                    </w:rPr>
                    <w:t xml:space="preserve">Página Web: </w:t>
                  </w:r>
                  <w:hyperlink r:id="rId1" w:history="1">
                    <w:r w:rsidRPr="00927ADA">
                      <w:rPr>
                        <w:rStyle w:val="Hipervnculo"/>
                        <w:rFonts w:cs="Tahoma"/>
                        <w:sz w:val="18"/>
                        <w:szCs w:val="18"/>
                      </w:rPr>
                      <w:t>www.mjp.go.cr</w:t>
                    </w:r>
                  </w:hyperlink>
                </w:p>
              </w:tc>
            </w:tr>
            <w:tr w:rsidR="001618C7" w14:paraId="7D2FFEA9" w14:textId="77777777" w:rsidTr="00FC1944">
              <w:trPr>
                <w:trHeight w:val="317"/>
              </w:trPr>
              <w:tc>
                <w:tcPr>
                  <w:tcW w:w="1525" w:type="pct"/>
                  <w:gridSpan w:val="2"/>
                  <w:shd w:val="clear" w:color="auto" w:fill="003C76"/>
                  <w:vAlign w:val="center"/>
                  <w:hideMark/>
                </w:tcPr>
                <w:p w14:paraId="5CF0AE1D" w14:textId="77777777" w:rsidR="001618C7" w:rsidRPr="00927ADA" w:rsidRDefault="001618C7" w:rsidP="00FC1944">
                  <w:pPr>
                    <w:spacing w:after="0" w:line="240" w:lineRule="auto"/>
                    <w:jc w:val="center"/>
                    <w:rPr>
                      <w:rFonts w:cs="Tahoma"/>
                      <w:b/>
                      <w:color w:val="FFFFFF" w:themeColor="background1"/>
                      <w:sz w:val="14"/>
                    </w:rPr>
                  </w:pPr>
                  <w:r w:rsidRPr="00927ADA">
                    <w:rPr>
                      <w:rFonts w:cs="Tahoma"/>
                      <w:b/>
                      <w:color w:val="FFFFFF" w:themeColor="background1"/>
                    </w:rPr>
                    <w:t>Ministerio de Justicia y Paz</w:t>
                  </w:r>
                </w:p>
              </w:tc>
              <w:tc>
                <w:tcPr>
                  <w:tcW w:w="3475" w:type="pct"/>
                  <w:vMerge/>
                  <w:tcBorders>
                    <w:top w:val="single" w:sz="8" w:space="0" w:color="003C76"/>
                    <w:left w:val="nil"/>
                    <w:bottom w:val="single" w:sz="8" w:space="0" w:color="003C76"/>
                    <w:right w:val="single" w:sz="8" w:space="0" w:color="003C76"/>
                  </w:tcBorders>
                  <w:vAlign w:val="center"/>
                  <w:hideMark/>
                </w:tcPr>
                <w:p w14:paraId="185482F0" w14:textId="77777777" w:rsidR="001618C7" w:rsidRPr="00927ADA" w:rsidRDefault="001618C7" w:rsidP="00FC1944">
                  <w:pPr>
                    <w:spacing w:after="0" w:line="240" w:lineRule="auto"/>
                    <w:rPr>
                      <w:rFonts w:cs="Tahoma"/>
                      <w:color w:val="FFFFFF" w:themeColor="background1"/>
                      <w:szCs w:val="16"/>
                    </w:rPr>
                  </w:pPr>
                </w:p>
              </w:tc>
            </w:tr>
            <w:tr w:rsidR="001618C7" w14:paraId="5DF8BA6B" w14:textId="77777777" w:rsidTr="00FC1944">
              <w:trPr>
                <w:trHeight w:val="27"/>
              </w:trPr>
              <w:tc>
                <w:tcPr>
                  <w:tcW w:w="1043" w:type="pct"/>
                  <w:tcBorders>
                    <w:top w:val="nil"/>
                    <w:left w:val="nil"/>
                    <w:bottom w:val="nil"/>
                    <w:right w:val="single" w:sz="8" w:space="0" w:color="003C76"/>
                  </w:tcBorders>
                </w:tcPr>
                <w:p w14:paraId="3549928E" w14:textId="77777777" w:rsidR="001618C7" w:rsidRPr="00927ADA" w:rsidRDefault="001618C7" w:rsidP="00FC1944">
                  <w:pPr>
                    <w:spacing w:after="0" w:line="240" w:lineRule="auto"/>
                    <w:jc w:val="right"/>
                    <w:rPr>
                      <w:rFonts w:cs="Tahoma"/>
                      <w:sz w:val="6"/>
                      <w:szCs w:val="2"/>
                    </w:rPr>
                  </w:pPr>
                </w:p>
              </w:tc>
              <w:tc>
                <w:tcPr>
                  <w:tcW w:w="482" w:type="pct"/>
                  <w:tcBorders>
                    <w:top w:val="nil"/>
                    <w:left w:val="single" w:sz="8" w:space="0" w:color="003C76"/>
                    <w:bottom w:val="single" w:sz="8" w:space="0" w:color="003C76"/>
                    <w:right w:val="nil"/>
                  </w:tcBorders>
                </w:tcPr>
                <w:p w14:paraId="6288207C" w14:textId="77777777" w:rsidR="001618C7" w:rsidRPr="00927ADA" w:rsidRDefault="001618C7" w:rsidP="00FC1944">
                  <w:pPr>
                    <w:spacing w:after="0" w:line="240" w:lineRule="auto"/>
                    <w:jc w:val="right"/>
                    <w:rPr>
                      <w:rFonts w:cs="Tahoma"/>
                      <w:sz w:val="6"/>
                      <w:szCs w:val="2"/>
                    </w:rPr>
                  </w:pPr>
                </w:p>
              </w:tc>
              <w:tc>
                <w:tcPr>
                  <w:tcW w:w="3475" w:type="pct"/>
                  <w:vMerge/>
                  <w:tcBorders>
                    <w:top w:val="single" w:sz="8" w:space="0" w:color="003C76"/>
                    <w:left w:val="nil"/>
                    <w:bottom w:val="single" w:sz="8" w:space="0" w:color="003C76"/>
                    <w:right w:val="single" w:sz="8" w:space="0" w:color="003C76"/>
                  </w:tcBorders>
                  <w:vAlign w:val="center"/>
                  <w:hideMark/>
                </w:tcPr>
                <w:p w14:paraId="1B531927" w14:textId="77777777" w:rsidR="001618C7" w:rsidRPr="00927ADA" w:rsidRDefault="001618C7" w:rsidP="00FC1944">
                  <w:pPr>
                    <w:spacing w:after="0" w:line="240" w:lineRule="auto"/>
                    <w:rPr>
                      <w:rFonts w:cs="Tahoma"/>
                      <w:szCs w:val="16"/>
                    </w:rPr>
                  </w:pPr>
                </w:p>
              </w:tc>
            </w:tr>
          </w:tbl>
          <w:p w14:paraId="2A147F20" w14:textId="77777777" w:rsidR="001618C7" w:rsidRPr="00FC1944" w:rsidRDefault="001618C7" w:rsidP="00FC1944">
            <w:pPr>
              <w:pStyle w:val="Piedepgina"/>
              <w:jc w:val="right"/>
              <w:rPr>
                <w:rFonts w:cs="Tahoma"/>
              </w:rPr>
            </w:pPr>
            <w:r w:rsidRPr="00927ADA">
              <w:rPr>
                <w:rFonts w:cs="Tahoma"/>
                <w:lang w:val="es-MX"/>
              </w:rPr>
              <w:t xml:space="preserve">Página </w:t>
            </w:r>
            <w:r w:rsidRPr="00927ADA">
              <w:rPr>
                <w:rFonts w:cs="Tahoma"/>
              </w:rPr>
              <w:fldChar w:fldCharType="begin"/>
            </w:r>
            <w:r w:rsidRPr="00927ADA">
              <w:rPr>
                <w:rFonts w:cs="Tahoma"/>
              </w:rPr>
              <w:instrText xml:space="preserve"> PAGE   \* MERGEFORMAT </w:instrText>
            </w:r>
            <w:r w:rsidRPr="00927ADA">
              <w:rPr>
                <w:rFonts w:cs="Tahoma"/>
              </w:rPr>
              <w:fldChar w:fldCharType="separate"/>
            </w:r>
            <w:r>
              <w:rPr>
                <w:rFonts w:cs="Tahoma"/>
              </w:rPr>
              <w:t>1</w:t>
            </w:r>
            <w:r w:rsidRPr="00927ADA">
              <w:rPr>
                <w:rFonts w:cs="Tahoma"/>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ahoma"/>
        <w:sz w:val="18"/>
        <w:szCs w:val="18"/>
        <w:lang w:val="x-none" w:eastAsia="x-none"/>
      </w:rPr>
      <w:id w:val="2057970294"/>
      <w:docPartObj>
        <w:docPartGallery w:val="Page Numbers (Bottom of Page)"/>
        <w:docPartUnique/>
      </w:docPartObj>
    </w:sdtPr>
    <w:sdtEndPr>
      <w:rPr>
        <w:lang w:val="es-CR" w:eastAsia="en-US"/>
      </w:rPr>
    </w:sdtEndPr>
    <w:sdtContent>
      <w:sdt>
        <w:sdtPr>
          <w:rPr>
            <w:rFonts w:cs="Tahoma"/>
            <w:sz w:val="18"/>
            <w:szCs w:val="18"/>
            <w:lang w:val="x-none" w:eastAsia="x-none"/>
          </w:rPr>
          <w:id w:val="1186560236"/>
          <w:docPartObj>
            <w:docPartGallery w:val="Page Numbers (Top of Page)"/>
            <w:docPartUnique/>
          </w:docPartObj>
        </w:sdtPr>
        <w:sdtEndPr>
          <w:rPr>
            <w:lang w:val="es-CR" w:eastAsia="en-US"/>
          </w:rPr>
        </w:sdtEndPr>
        <w:sdtContent>
          <w:tbl>
            <w:tblPr>
              <w:tblW w:w="5000" w:type="pct"/>
              <w:tblLook w:val="04A0" w:firstRow="1" w:lastRow="0" w:firstColumn="1" w:lastColumn="0" w:noHBand="0" w:noVBand="1"/>
            </w:tblPr>
            <w:tblGrid>
              <w:gridCol w:w="1945"/>
              <w:gridCol w:w="899"/>
              <w:gridCol w:w="6479"/>
            </w:tblGrid>
            <w:tr w:rsidR="00AD34F7" w14:paraId="41A28DF6" w14:textId="77777777" w:rsidTr="00AE02B5">
              <w:trPr>
                <w:trHeight w:val="64"/>
              </w:trPr>
              <w:tc>
                <w:tcPr>
                  <w:tcW w:w="1043" w:type="pct"/>
                  <w:tcBorders>
                    <w:top w:val="nil"/>
                    <w:left w:val="nil"/>
                    <w:bottom w:val="nil"/>
                    <w:right w:val="single" w:sz="8" w:space="0" w:color="003C76"/>
                  </w:tcBorders>
                </w:tcPr>
                <w:p w14:paraId="5A732748" w14:textId="77777777" w:rsidR="00AD34F7" w:rsidRPr="00927ADA" w:rsidRDefault="00AD34F7" w:rsidP="00FC1944">
                  <w:pPr>
                    <w:spacing w:after="0" w:line="240" w:lineRule="auto"/>
                    <w:jc w:val="right"/>
                    <w:rPr>
                      <w:rFonts w:cs="Tahoma"/>
                      <w:sz w:val="6"/>
                      <w:szCs w:val="2"/>
                    </w:rPr>
                  </w:pPr>
                </w:p>
              </w:tc>
              <w:tc>
                <w:tcPr>
                  <w:tcW w:w="482" w:type="pct"/>
                  <w:tcBorders>
                    <w:top w:val="single" w:sz="8" w:space="0" w:color="003C76"/>
                    <w:left w:val="single" w:sz="8" w:space="0" w:color="003C76"/>
                    <w:bottom w:val="nil"/>
                    <w:right w:val="nil"/>
                  </w:tcBorders>
                </w:tcPr>
                <w:p w14:paraId="0EB6C99B" w14:textId="77777777" w:rsidR="00AD34F7" w:rsidRPr="00927ADA" w:rsidRDefault="00AD34F7" w:rsidP="00FC1944">
                  <w:pPr>
                    <w:spacing w:after="0" w:line="240" w:lineRule="auto"/>
                    <w:jc w:val="right"/>
                    <w:rPr>
                      <w:rFonts w:cs="Tahoma"/>
                      <w:sz w:val="6"/>
                      <w:szCs w:val="2"/>
                    </w:rPr>
                  </w:pPr>
                </w:p>
              </w:tc>
              <w:tc>
                <w:tcPr>
                  <w:tcW w:w="3475" w:type="pct"/>
                  <w:vMerge w:val="restart"/>
                  <w:tcBorders>
                    <w:top w:val="single" w:sz="8" w:space="0" w:color="003C76"/>
                    <w:left w:val="nil"/>
                    <w:bottom w:val="single" w:sz="8" w:space="0" w:color="003C76"/>
                    <w:right w:val="single" w:sz="8" w:space="0" w:color="003C76"/>
                  </w:tcBorders>
                  <w:vAlign w:val="center"/>
                  <w:hideMark/>
                </w:tcPr>
                <w:p w14:paraId="1560E79F" w14:textId="77777777" w:rsidR="00AD34F7" w:rsidRPr="00927ADA" w:rsidRDefault="00AD34F7" w:rsidP="00FC1944">
                  <w:pPr>
                    <w:spacing w:after="0" w:line="240" w:lineRule="auto"/>
                    <w:jc w:val="right"/>
                    <w:rPr>
                      <w:rFonts w:cs="Tahoma"/>
                      <w:sz w:val="18"/>
                      <w:szCs w:val="18"/>
                    </w:rPr>
                  </w:pPr>
                  <w:r w:rsidRPr="00927ADA">
                    <w:rPr>
                      <w:rFonts w:cs="Tahoma"/>
                      <w:sz w:val="18"/>
                      <w:szCs w:val="18"/>
                    </w:rPr>
                    <w:t xml:space="preserve">Página Web: </w:t>
                  </w:r>
                  <w:hyperlink r:id="rId1" w:history="1">
                    <w:r w:rsidRPr="00927ADA">
                      <w:rPr>
                        <w:rStyle w:val="Hipervnculo"/>
                        <w:rFonts w:cs="Tahoma"/>
                        <w:sz w:val="18"/>
                        <w:szCs w:val="18"/>
                      </w:rPr>
                      <w:t>www.mjp.go.cr</w:t>
                    </w:r>
                  </w:hyperlink>
                </w:p>
              </w:tc>
            </w:tr>
            <w:tr w:rsidR="00AD34F7" w14:paraId="502C09D1" w14:textId="77777777" w:rsidTr="00AE02B5">
              <w:trPr>
                <w:trHeight w:val="317"/>
              </w:trPr>
              <w:tc>
                <w:tcPr>
                  <w:tcW w:w="1525" w:type="pct"/>
                  <w:gridSpan w:val="2"/>
                  <w:shd w:val="clear" w:color="auto" w:fill="003C76"/>
                  <w:vAlign w:val="center"/>
                  <w:hideMark/>
                </w:tcPr>
                <w:p w14:paraId="142CEFFC" w14:textId="77777777" w:rsidR="00AD34F7" w:rsidRPr="00927ADA" w:rsidRDefault="00AD34F7" w:rsidP="00FC1944">
                  <w:pPr>
                    <w:spacing w:after="0" w:line="240" w:lineRule="auto"/>
                    <w:jc w:val="center"/>
                    <w:rPr>
                      <w:rFonts w:cs="Tahoma"/>
                      <w:b/>
                      <w:color w:val="FFFFFF" w:themeColor="background1"/>
                      <w:sz w:val="14"/>
                    </w:rPr>
                  </w:pPr>
                  <w:r w:rsidRPr="00927ADA">
                    <w:rPr>
                      <w:rFonts w:cs="Tahoma"/>
                      <w:b/>
                      <w:color w:val="FFFFFF" w:themeColor="background1"/>
                    </w:rPr>
                    <w:t>Ministerio de Justicia y Paz</w:t>
                  </w:r>
                </w:p>
              </w:tc>
              <w:tc>
                <w:tcPr>
                  <w:tcW w:w="3475" w:type="pct"/>
                  <w:vMerge/>
                  <w:tcBorders>
                    <w:top w:val="single" w:sz="8" w:space="0" w:color="003C76"/>
                    <w:left w:val="nil"/>
                    <w:bottom w:val="single" w:sz="8" w:space="0" w:color="003C76"/>
                    <w:right w:val="single" w:sz="8" w:space="0" w:color="003C76"/>
                  </w:tcBorders>
                  <w:vAlign w:val="center"/>
                  <w:hideMark/>
                </w:tcPr>
                <w:p w14:paraId="1AFF5351" w14:textId="77777777" w:rsidR="00AD34F7" w:rsidRPr="00927ADA" w:rsidRDefault="00AD34F7" w:rsidP="00FC1944">
                  <w:pPr>
                    <w:spacing w:after="0" w:line="240" w:lineRule="auto"/>
                    <w:rPr>
                      <w:rFonts w:cs="Tahoma"/>
                      <w:color w:val="FFFFFF" w:themeColor="background1"/>
                      <w:szCs w:val="16"/>
                    </w:rPr>
                  </w:pPr>
                </w:p>
              </w:tc>
            </w:tr>
            <w:tr w:rsidR="00AD34F7" w14:paraId="3DAC4CF5" w14:textId="77777777" w:rsidTr="00AE02B5">
              <w:trPr>
                <w:trHeight w:val="27"/>
              </w:trPr>
              <w:tc>
                <w:tcPr>
                  <w:tcW w:w="1043" w:type="pct"/>
                  <w:tcBorders>
                    <w:top w:val="nil"/>
                    <w:left w:val="nil"/>
                    <w:bottom w:val="nil"/>
                    <w:right w:val="single" w:sz="8" w:space="0" w:color="003C76"/>
                  </w:tcBorders>
                </w:tcPr>
                <w:p w14:paraId="44816407" w14:textId="77777777" w:rsidR="00AD34F7" w:rsidRPr="00927ADA" w:rsidRDefault="00AD34F7" w:rsidP="00FC1944">
                  <w:pPr>
                    <w:spacing w:after="0" w:line="240" w:lineRule="auto"/>
                    <w:jc w:val="right"/>
                    <w:rPr>
                      <w:rFonts w:cs="Tahoma"/>
                      <w:sz w:val="6"/>
                      <w:szCs w:val="2"/>
                    </w:rPr>
                  </w:pPr>
                </w:p>
              </w:tc>
              <w:tc>
                <w:tcPr>
                  <w:tcW w:w="482" w:type="pct"/>
                  <w:tcBorders>
                    <w:top w:val="nil"/>
                    <w:left w:val="single" w:sz="8" w:space="0" w:color="003C76"/>
                    <w:bottom w:val="single" w:sz="8" w:space="0" w:color="003C76"/>
                    <w:right w:val="nil"/>
                  </w:tcBorders>
                </w:tcPr>
                <w:p w14:paraId="32E736DD" w14:textId="77777777" w:rsidR="00AD34F7" w:rsidRPr="00927ADA" w:rsidRDefault="00AD34F7" w:rsidP="00FC1944">
                  <w:pPr>
                    <w:spacing w:after="0" w:line="240" w:lineRule="auto"/>
                    <w:jc w:val="right"/>
                    <w:rPr>
                      <w:rFonts w:cs="Tahoma"/>
                      <w:sz w:val="6"/>
                      <w:szCs w:val="2"/>
                    </w:rPr>
                  </w:pPr>
                </w:p>
              </w:tc>
              <w:tc>
                <w:tcPr>
                  <w:tcW w:w="3475" w:type="pct"/>
                  <w:vMerge/>
                  <w:tcBorders>
                    <w:top w:val="single" w:sz="8" w:space="0" w:color="003C76"/>
                    <w:left w:val="nil"/>
                    <w:bottom w:val="single" w:sz="8" w:space="0" w:color="003C76"/>
                    <w:right w:val="single" w:sz="8" w:space="0" w:color="003C76"/>
                  </w:tcBorders>
                  <w:vAlign w:val="center"/>
                  <w:hideMark/>
                </w:tcPr>
                <w:p w14:paraId="6B307959" w14:textId="77777777" w:rsidR="00AD34F7" w:rsidRPr="00927ADA" w:rsidRDefault="00AD34F7" w:rsidP="00FC1944">
                  <w:pPr>
                    <w:spacing w:after="0" w:line="240" w:lineRule="auto"/>
                    <w:rPr>
                      <w:rFonts w:cs="Tahoma"/>
                      <w:szCs w:val="16"/>
                    </w:rPr>
                  </w:pPr>
                </w:p>
              </w:tc>
            </w:tr>
          </w:tbl>
          <w:p w14:paraId="16113623" w14:textId="77777777" w:rsidR="00AD34F7" w:rsidRPr="00FC1944" w:rsidRDefault="00AD34F7" w:rsidP="00FC1944">
            <w:pPr>
              <w:pStyle w:val="Piedepgina"/>
              <w:jc w:val="right"/>
              <w:rPr>
                <w:rFonts w:cs="Tahoma"/>
              </w:rPr>
            </w:pPr>
            <w:r w:rsidRPr="00927ADA">
              <w:rPr>
                <w:rFonts w:cs="Tahoma"/>
                <w:lang w:val="es-MX"/>
              </w:rPr>
              <w:t xml:space="preserve">Página </w:t>
            </w:r>
            <w:r w:rsidRPr="00927ADA">
              <w:rPr>
                <w:rFonts w:cs="Tahoma"/>
              </w:rPr>
              <w:fldChar w:fldCharType="begin"/>
            </w:r>
            <w:r w:rsidRPr="00927ADA">
              <w:rPr>
                <w:rFonts w:cs="Tahoma"/>
              </w:rPr>
              <w:instrText xml:space="preserve"> PAGE   \* MERGEFORMAT </w:instrText>
            </w:r>
            <w:r w:rsidRPr="00927ADA">
              <w:rPr>
                <w:rFonts w:cs="Tahoma"/>
              </w:rPr>
              <w:fldChar w:fldCharType="separate"/>
            </w:r>
            <w:r>
              <w:rPr>
                <w:rFonts w:cs="Tahoma"/>
              </w:rPr>
              <w:t>1</w:t>
            </w:r>
            <w:r w:rsidRPr="00927ADA">
              <w:rPr>
                <w:rFonts w:cs="Tahoma"/>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ahoma"/>
        <w:sz w:val="18"/>
        <w:szCs w:val="18"/>
        <w:lang w:val="x-none" w:eastAsia="x-none"/>
      </w:rPr>
      <w:id w:val="-689377849"/>
      <w:docPartObj>
        <w:docPartGallery w:val="Page Numbers (Bottom of Page)"/>
        <w:docPartUnique/>
      </w:docPartObj>
    </w:sdtPr>
    <w:sdtEndPr>
      <w:rPr>
        <w:lang w:val="es-CR" w:eastAsia="en-US"/>
      </w:rPr>
    </w:sdtEndPr>
    <w:sdtContent>
      <w:sdt>
        <w:sdtPr>
          <w:rPr>
            <w:rFonts w:cs="Tahoma"/>
            <w:sz w:val="18"/>
            <w:szCs w:val="18"/>
            <w:lang w:val="x-none" w:eastAsia="x-none"/>
          </w:rPr>
          <w:id w:val="1207758656"/>
          <w:docPartObj>
            <w:docPartGallery w:val="Page Numbers (Top of Page)"/>
            <w:docPartUnique/>
          </w:docPartObj>
        </w:sdtPr>
        <w:sdtEndPr>
          <w:rPr>
            <w:lang w:val="es-CR" w:eastAsia="en-US"/>
          </w:rPr>
        </w:sdtEndPr>
        <w:sdtContent>
          <w:tbl>
            <w:tblPr>
              <w:tblW w:w="5000" w:type="pct"/>
              <w:tblLook w:val="04A0" w:firstRow="1" w:lastRow="0" w:firstColumn="1" w:lastColumn="0" w:noHBand="0" w:noVBand="1"/>
            </w:tblPr>
            <w:tblGrid>
              <w:gridCol w:w="1842"/>
              <w:gridCol w:w="851"/>
              <w:gridCol w:w="6136"/>
            </w:tblGrid>
            <w:tr w:rsidR="001618C7" w14:paraId="1B0B690F" w14:textId="77777777" w:rsidTr="00FC1944">
              <w:trPr>
                <w:trHeight w:val="64"/>
              </w:trPr>
              <w:tc>
                <w:tcPr>
                  <w:tcW w:w="1043" w:type="pct"/>
                  <w:tcBorders>
                    <w:top w:val="nil"/>
                    <w:left w:val="nil"/>
                    <w:bottom w:val="nil"/>
                    <w:right w:val="single" w:sz="8" w:space="0" w:color="003C76"/>
                  </w:tcBorders>
                </w:tcPr>
                <w:p w14:paraId="673A392C" w14:textId="77777777" w:rsidR="001618C7" w:rsidRPr="00927ADA" w:rsidRDefault="001618C7" w:rsidP="00FC1944">
                  <w:pPr>
                    <w:spacing w:after="0" w:line="240" w:lineRule="auto"/>
                    <w:jc w:val="right"/>
                    <w:rPr>
                      <w:rFonts w:cs="Tahoma"/>
                      <w:sz w:val="6"/>
                      <w:szCs w:val="2"/>
                    </w:rPr>
                  </w:pPr>
                </w:p>
              </w:tc>
              <w:tc>
                <w:tcPr>
                  <w:tcW w:w="482" w:type="pct"/>
                  <w:tcBorders>
                    <w:top w:val="single" w:sz="8" w:space="0" w:color="003C76"/>
                    <w:left w:val="single" w:sz="8" w:space="0" w:color="003C76"/>
                    <w:bottom w:val="nil"/>
                    <w:right w:val="nil"/>
                  </w:tcBorders>
                </w:tcPr>
                <w:p w14:paraId="3FB04133" w14:textId="77777777" w:rsidR="001618C7" w:rsidRPr="00927ADA" w:rsidRDefault="001618C7" w:rsidP="00FC1944">
                  <w:pPr>
                    <w:spacing w:after="0" w:line="240" w:lineRule="auto"/>
                    <w:jc w:val="right"/>
                    <w:rPr>
                      <w:rFonts w:cs="Tahoma"/>
                      <w:sz w:val="6"/>
                      <w:szCs w:val="2"/>
                    </w:rPr>
                  </w:pPr>
                </w:p>
              </w:tc>
              <w:tc>
                <w:tcPr>
                  <w:tcW w:w="3475" w:type="pct"/>
                  <w:vMerge w:val="restart"/>
                  <w:tcBorders>
                    <w:top w:val="single" w:sz="8" w:space="0" w:color="003C76"/>
                    <w:left w:val="nil"/>
                    <w:bottom w:val="single" w:sz="8" w:space="0" w:color="003C76"/>
                    <w:right w:val="single" w:sz="8" w:space="0" w:color="003C76"/>
                  </w:tcBorders>
                  <w:vAlign w:val="center"/>
                  <w:hideMark/>
                </w:tcPr>
                <w:p w14:paraId="67C210CD" w14:textId="77777777" w:rsidR="001618C7" w:rsidRPr="00927ADA" w:rsidRDefault="001618C7" w:rsidP="00FC1944">
                  <w:pPr>
                    <w:spacing w:after="0" w:line="240" w:lineRule="auto"/>
                    <w:jc w:val="right"/>
                    <w:rPr>
                      <w:rFonts w:cs="Tahoma"/>
                      <w:sz w:val="18"/>
                      <w:szCs w:val="18"/>
                    </w:rPr>
                  </w:pPr>
                  <w:r w:rsidRPr="00927ADA">
                    <w:rPr>
                      <w:rFonts w:cs="Tahoma"/>
                      <w:sz w:val="18"/>
                      <w:szCs w:val="18"/>
                    </w:rPr>
                    <w:t xml:space="preserve">Página Web: </w:t>
                  </w:r>
                  <w:hyperlink r:id="rId1" w:history="1">
                    <w:r w:rsidRPr="00927ADA">
                      <w:rPr>
                        <w:rStyle w:val="Hipervnculo"/>
                        <w:rFonts w:cs="Tahoma"/>
                        <w:sz w:val="18"/>
                        <w:szCs w:val="18"/>
                      </w:rPr>
                      <w:t>www.mjp.go.cr</w:t>
                    </w:r>
                  </w:hyperlink>
                </w:p>
              </w:tc>
            </w:tr>
            <w:tr w:rsidR="001618C7" w14:paraId="32F8D96A" w14:textId="77777777" w:rsidTr="00FC1944">
              <w:trPr>
                <w:trHeight w:val="317"/>
              </w:trPr>
              <w:tc>
                <w:tcPr>
                  <w:tcW w:w="1525" w:type="pct"/>
                  <w:gridSpan w:val="2"/>
                  <w:shd w:val="clear" w:color="auto" w:fill="003C76"/>
                  <w:vAlign w:val="center"/>
                  <w:hideMark/>
                </w:tcPr>
                <w:p w14:paraId="1FCA1D19" w14:textId="77777777" w:rsidR="001618C7" w:rsidRPr="00927ADA" w:rsidRDefault="001618C7" w:rsidP="00FC1944">
                  <w:pPr>
                    <w:spacing w:after="0" w:line="240" w:lineRule="auto"/>
                    <w:jc w:val="center"/>
                    <w:rPr>
                      <w:rFonts w:cs="Tahoma"/>
                      <w:b/>
                      <w:color w:val="FFFFFF" w:themeColor="background1"/>
                      <w:sz w:val="14"/>
                    </w:rPr>
                  </w:pPr>
                  <w:r w:rsidRPr="00927ADA">
                    <w:rPr>
                      <w:rFonts w:cs="Tahoma"/>
                      <w:b/>
                      <w:color w:val="FFFFFF" w:themeColor="background1"/>
                    </w:rPr>
                    <w:t>Ministerio de Justicia y Paz</w:t>
                  </w:r>
                </w:p>
              </w:tc>
              <w:tc>
                <w:tcPr>
                  <w:tcW w:w="3475" w:type="pct"/>
                  <w:vMerge/>
                  <w:tcBorders>
                    <w:top w:val="single" w:sz="8" w:space="0" w:color="003C76"/>
                    <w:left w:val="nil"/>
                    <w:bottom w:val="single" w:sz="8" w:space="0" w:color="003C76"/>
                    <w:right w:val="single" w:sz="8" w:space="0" w:color="003C76"/>
                  </w:tcBorders>
                  <w:vAlign w:val="center"/>
                  <w:hideMark/>
                </w:tcPr>
                <w:p w14:paraId="27CB07D9" w14:textId="77777777" w:rsidR="001618C7" w:rsidRPr="00927ADA" w:rsidRDefault="001618C7" w:rsidP="00FC1944">
                  <w:pPr>
                    <w:spacing w:after="0" w:line="240" w:lineRule="auto"/>
                    <w:rPr>
                      <w:rFonts w:cs="Tahoma"/>
                      <w:color w:val="FFFFFF" w:themeColor="background1"/>
                      <w:szCs w:val="16"/>
                    </w:rPr>
                  </w:pPr>
                </w:p>
              </w:tc>
            </w:tr>
            <w:tr w:rsidR="001618C7" w14:paraId="70B8B90C" w14:textId="77777777" w:rsidTr="00FC1944">
              <w:trPr>
                <w:trHeight w:val="27"/>
              </w:trPr>
              <w:tc>
                <w:tcPr>
                  <w:tcW w:w="1043" w:type="pct"/>
                  <w:tcBorders>
                    <w:top w:val="nil"/>
                    <w:left w:val="nil"/>
                    <w:bottom w:val="nil"/>
                    <w:right w:val="single" w:sz="8" w:space="0" w:color="003C76"/>
                  </w:tcBorders>
                </w:tcPr>
                <w:p w14:paraId="0FB97939" w14:textId="77777777" w:rsidR="001618C7" w:rsidRPr="00927ADA" w:rsidRDefault="001618C7" w:rsidP="00FC1944">
                  <w:pPr>
                    <w:spacing w:after="0" w:line="240" w:lineRule="auto"/>
                    <w:jc w:val="right"/>
                    <w:rPr>
                      <w:rFonts w:cs="Tahoma"/>
                      <w:sz w:val="6"/>
                      <w:szCs w:val="2"/>
                    </w:rPr>
                  </w:pPr>
                </w:p>
              </w:tc>
              <w:tc>
                <w:tcPr>
                  <w:tcW w:w="482" w:type="pct"/>
                  <w:tcBorders>
                    <w:top w:val="nil"/>
                    <w:left w:val="single" w:sz="8" w:space="0" w:color="003C76"/>
                    <w:bottom w:val="single" w:sz="8" w:space="0" w:color="003C76"/>
                    <w:right w:val="nil"/>
                  </w:tcBorders>
                </w:tcPr>
                <w:p w14:paraId="596C3EA5" w14:textId="77777777" w:rsidR="001618C7" w:rsidRPr="00927ADA" w:rsidRDefault="001618C7" w:rsidP="00FC1944">
                  <w:pPr>
                    <w:spacing w:after="0" w:line="240" w:lineRule="auto"/>
                    <w:jc w:val="right"/>
                    <w:rPr>
                      <w:rFonts w:cs="Tahoma"/>
                      <w:sz w:val="6"/>
                      <w:szCs w:val="2"/>
                    </w:rPr>
                  </w:pPr>
                </w:p>
              </w:tc>
              <w:tc>
                <w:tcPr>
                  <w:tcW w:w="3475" w:type="pct"/>
                  <w:vMerge/>
                  <w:tcBorders>
                    <w:top w:val="single" w:sz="8" w:space="0" w:color="003C76"/>
                    <w:left w:val="nil"/>
                    <w:bottom w:val="single" w:sz="8" w:space="0" w:color="003C76"/>
                    <w:right w:val="single" w:sz="8" w:space="0" w:color="003C76"/>
                  </w:tcBorders>
                  <w:vAlign w:val="center"/>
                  <w:hideMark/>
                </w:tcPr>
                <w:p w14:paraId="28AC2FF6" w14:textId="77777777" w:rsidR="001618C7" w:rsidRPr="00927ADA" w:rsidRDefault="001618C7" w:rsidP="00FC1944">
                  <w:pPr>
                    <w:spacing w:after="0" w:line="240" w:lineRule="auto"/>
                    <w:rPr>
                      <w:rFonts w:cs="Tahoma"/>
                      <w:szCs w:val="16"/>
                    </w:rPr>
                  </w:pPr>
                </w:p>
              </w:tc>
            </w:tr>
          </w:tbl>
          <w:p w14:paraId="799FE28A" w14:textId="77777777" w:rsidR="001618C7" w:rsidRPr="00FC1944" w:rsidRDefault="001618C7" w:rsidP="00FC1944">
            <w:pPr>
              <w:pStyle w:val="Piedepgina"/>
              <w:jc w:val="right"/>
              <w:rPr>
                <w:rFonts w:cs="Tahoma"/>
              </w:rPr>
            </w:pPr>
            <w:r w:rsidRPr="00927ADA">
              <w:rPr>
                <w:rFonts w:cs="Tahoma"/>
                <w:lang w:val="es-MX"/>
              </w:rPr>
              <w:t xml:space="preserve">Página </w:t>
            </w:r>
            <w:r w:rsidRPr="00927ADA">
              <w:rPr>
                <w:rFonts w:cs="Tahoma"/>
              </w:rPr>
              <w:fldChar w:fldCharType="begin"/>
            </w:r>
            <w:r w:rsidRPr="00927ADA">
              <w:rPr>
                <w:rFonts w:cs="Tahoma"/>
              </w:rPr>
              <w:instrText xml:space="preserve"> PAGE   \* MERGEFORMAT </w:instrText>
            </w:r>
            <w:r w:rsidRPr="00927ADA">
              <w:rPr>
                <w:rFonts w:cs="Tahoma"/>
              </w:rPr>
              <w:fldChar w:fldCharType="separate"/>
            </w:r>
            <w:r>
              <w:rPr>
                <w:rFonts w:cs="Tahoma"/>
              </w:rPr>
              <w:t>1</w:t>
            </w:r>
            <w:r w:rsidRPr="00927ADA">
              <w:rPr>
                <w:rFonts w:cs="Tahoma"/>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ahoma"/>
        <w:sz w:val="18"/>
        <w:szCs w:val="18"/>
        <w:lang w:val="x-none" w:eastAsia="x-none"/>
      </w:rPr>
      <w:id w:val="1812436478"/>
      <w:docPartObj>
        <w:docPartGallery w:val="Page Numbers (Bottom of Page)"/>
        <w:docPartUnique/>
      </w:docPartObj>
    </w:sdtPr>
    <w:sdtEndPr>
      <w:rPr>
        <w:lang w:val="es-CR" w:eastAsia="en-US"/>
      </w:rPr>
    </w:sdtEndPr>
    <w:sdtContent>
      <w:sdt>
        <w:sdtPr>
          <w:rPr>
            <w:rFonts w:cs="Tahoma"/>
            <w:sz w:val="18"/>
            <w:szCs w:val="18"/>
            <w:lang w:val="x-none" w:eastAsia="x-none"/>
          </w:rPr>
          <w:id w:val="-1673176910"/>
          <w:docPartObj>
            <w:docPartGallery w:val="Page Numbers (Top of Page)"/>
            <w:docPartUnique/>
          </w:docPartObj>
        </w:sdtPr>
        <w:sdtEndPr>
          <w:rPr>
            <w:lang w:val="es-CR" w:eastAsia="en-US"/>
          </w:rPr>
        </w:sdtEndPr>
        <w:sdtContent>
          <w:tbl>
            <w:tblPr>
              <w:tblW w:w="5000" w:type="pct"/>
              <w:tblLook w:val="04A0" w:firstRow="1" w:lastRow="0" w:firstColumn="1" w:lastColumn="0" w:noHBand="0" w:noVBand="1"/>
            </w:tblPr>
            <w:tblGrid>
              <w:gridCol w:w="1842"/>
              <w:gridCol w:w="851"/>
              <w:gridCol w:w="6136"/>
            </w:tblGrid>
            <w:tr w:rsidR="00174521" w14:paraId="2392B631" w14:textId="77777777" w:rsidTr="00FC1944">
              <w:trPr>
                <w:trHeight w:val="64"/>
              </w:trPr>
              <w:tc>
                <w:tcPr>
                  <w:tcW w:w="1043" w:type="pct"/>
                  <w:tcBorders>
                    <w:top w:val="nil"/>
                    <w:left w:val="nil"/>
                    <w:bottom w:val="nil"/>
                    <w:right w:val="single" w:sz="8" w:space="0" w:color="003C76"/>
                  </w:tcBorders>
                </w:tcPr>
                <w:p w14:paraId="78FB3644" w14:textId="77777777" w:rsidR="00174521" w:rsidRPr="00927ADA" w:rsidRDefault="00174521" w:rsidP="00FC1944">
                  <w:pPr>
                    <w:spacing w:after="0" w:line="240" w:lineRule="auto"/>
                    <w:jc w:val="right"/>
                    <w:rPr>
                      <w:rFonts w:cs="Tahoma"/>
                      <w:sz w:val="6"/>
                      <w:szCs w:val="2"/>
                    </w:rPr>
                  </w:pPr>
                </w:p>
              </w:tc>
              <w:tc>
                <w:tcPr>
                  <w:tcW w:w="482" w:type="pct"/>
                  <w:tcBorders>
                    <w:top w:val="single" w:sz="8" w:space="0" w:color="003C76"/>
                    <w:left w:val="single" w:sz="8" w:space="0" w:color="003C76"/>
                    <w:bottom w:val="nil"/>
                    <w:right w:val="nil"/>
                  </w:tcBorders>
                </w:tcPr>
                <w:p w14:paraId="585DC457" w14:textId="77777777" w:rsidR="00174521" w:rsidRPr="00927ADA" w:rsidRDefault="00174521" w:rsidP="00FC1944">
                  <w:pPr>
                    <w:spacing w:after="0" w:line="240" w:lineRule="auto"/>
                    <w:jc w:val="right"/>
                    <w:rPr>
                      <w:rFonts w:cs="Tahoma"/>
                      <w:sz w:val="6"/>
                      <w:szCs w:val="2"/>
                    </w:rPr>
                  </w:pPr>
                </w:p>
              </w:tc>
              <w:tc>
                <w:tcPr>
                  <w:tcW w:w="3475" w:type="pct"/>
                  <w:vMerge w:val="restart"/>
                  <w:tcBorders>
                    <w:top w:val="single" w:sz="8" w:space="0" w:color="003C76"/>
                    <w:left w:val="nil"/>
                    <w:bottom w:val="single" w:sz="8" w:space="0" w:color="003C76"/>
                    <w:right w:val="single" w:sz="8" w:space="0" w:color="003C76"/>
                  </w:tcBorders>
                  <w:vAlign w:val="center"/>
                  <w:hideMark/>
                </w:tcPr>
                <w:p w14:paraId="20421E57" w14:textId="77777777" w:rsidR="00174521" w:rsidRPr="00927ADA" w:rsidRDefault="00174521" w:rsidP="00FC1944">
                  <w:pPr>
                    <w:spacing w:after="0" w:line="240" w:lineRule="auto"/>
                    <w:jc w:val="right"/>
                    <w:rPr>
                      <w:rFonts w:cs="Tahoma"/>
                      <w:sz w:val="18"/>
                      <w:szCs w:val="18"/>
                    </w:rPr>
                  </w:pPr>
                  <w:r w:rsidRPr="00927ADA">
                    <w:rPr>
                      <w:rFonts w:cs="Tahoma"/>
                      <w:sz w:val="18"/>
                      <w:szCs w:val="18"/>
                    </w:rPr>
                    <w:t xml:space="preserve">Página Web: </w:t>
                  </w:r>
                  <w:hyperlink r:id="rId1" w:history="1">
                    <w:r w:rsidRPr="00927ADA">
                      <w:rPr>
                        <w:rStyle w:val="Hipervnculo"/>
                        <w:rFonts w:cs="Tahoma"/>
                        <w:sz w:val="18"/>
                        <w:szCs w:val="18"/>
                      </w:rPr>
                      <w:t>www.mjp.go.cr</w:t>
                    </w:r>
                  </w:hyperlink>
                </w:p>
              </w:tc>
            </w:tr>
            <w:tr w:rsidR="00174521" w14:paraId="46C5B6B7" w14:textId="77777777" w:rsidTr="00FC1944">
              <w:trPr>
                <w:trHeight w:val="317"/>
              </w:trPr>
              <w:tc>
                <w:tcPr>
                  <w:tcW w:w="1525" w:type="pct"/>
                  <w:gridSpan w:val="2"/>
                  <w:shd w:val="clear" w:color="auto" w:fill="003C76"/>
                  <w:vAlign w:val="center"/>
                  <w:hideMark/>
                </w:tcPr>
                <w:p w14:paraId="4E642D52" w14:textId="77777777" w:rsidR="00174521" w:rsidRPr="00927ADA" w:rsidRDefault="00174521" w:rsidP="00FC1944">
                  <w:pPr>
                    <w:spacing w:after="0" w:line="240" w:lineRule="auto"/>
                    <w:jc w:val="center"/>
                    <w:rPr>
                      <w:rFonts w:cs="Tahoma"/>
                      <w:b/>
                      <w:color w:val="FFFFFF" w:themeColor="background1"/>
                      <w:sz w:val="14"/>
                    </w:rPr>
                  </w:pPr>
                  <w:r w:rsidRPr="00927ADA">
                    <w:rPr>
                      <w:rFonts w:cs="Tahoma"/>
                      <w:b/>
                      <w:color w:val="FFFFFF" w:themeColor="background1"/>
                    </w:rPr>
                    <w:t>Ministerio de Justicia y Paz</w:t>
                  </w:r>
                </w:p>
              </w:tc>
              <w:tc>
                <w:tcPr>
                  <w:tcW w:w="3475" w:type="pct"/>
                  <w:vMerge/>
                  <w:tcBorders>
                    <w:top w:val="single" w:sz="8" w:space="0" w:color="003C76"/>
                    <w:left w:val="nil"/>
                    <w:bottom w:val="single" w:sz="8" w:space="0" w:color="003C76"/>
                    <w:right w:val="single" w:sz="8" w:space="0" w:color="003C76"/>
                  </w:tcBorders>
                  <w:vAlign w:val="center"/>
                  <w:hideMark/>
                </w:tcPr>
                <w:p w14:paraId="742B937A" w14:textId="77777777" w:rsidR="00174521" w:rsidRPr="00927ADA" w:rsidRDefault="00174521" w:rsidP="00FC1944">
                  <w:pPr>
                    <w:spacing w:after="0" w:line="240" w:lineRule="auto"/>
                    <w:rPr>
                      <w:rFonts w:cs="Tahoma"/>
                      <w:color w:val="FFFFFF" w:themeColor="background1"/>
                      <w:szCs w:val="16"/>
                    </w:rPr>
                  </w:pPr>
                </w:p>
              </w:tc>
            </w:tr>
            <w:tr w:rsidR="00174521" w14:paraId="34B498B9" w14:textId="77777777" w:rsidTr="00FC1944">
              <w:trPr>
                <w:trHeight w:val="27"/>
              </w:trPr>
              <w:tc>
                <w:tcPr>
                  <w:tcW w:w="1043" w:type="pct"/>
                  <w:tcBorders>
                    <w:top w:val="nil"/>
                    <w:left w:val="nil"/>
                    <w:bottom w:val="nil"/>
                    <w:right w:val="single" w:sz="8" w:space="0" w:color="003C76"/>
                  </w:tcBorders>
                </w:tcPr>
                <w:p w14:paraId="29FF6D03" w14:textId="77777777" w:rsidR="00174521" w:rsidRPr="00927ADA" w:rsidRDefault="00174521" w:rsidP="00FC1944">
                  <w:pPr>
                    <w:spacing w:after="0" w:line="240" w:lineRule="auto"/>
                    <w:jc w:val="right"/>
                    <w:rPr>
                      <w:rFonts w:cs="Tahoma"/>
                      <w:sz w:val="6"/>
                      <w:szCs w:val="2"/>
                    </w:rPr>
                  </w:pPr>
                </w:p>
              </w:tc>
              <w:tc>
                <w:tcPr>
                  <w:tcW w:w="482" w:type="pct"/>
                  <w:tcBorders>
                    <w:top w:val="nil"/>
                    <w:left w:val="single" w:sz="8" w:space="0" w:color="003C76"/>
                    <w:bottom w:val="single" w:sz="8" w:space="0" w:color="003C76"/>
                    <w:right w:val="nil"/>
                  </w:tcBorders>
                </w:tcPr>
                <w:p w14:paraId="4705E076" w14:textId="77777777" w:rsidR="00174521" w:rsidRPr="00927ADA" w:rsidRDefault="00174521" w:rsidP="00FC1944">
                  <w:pPr>
                    <w:spacing w:after="0" w:line="240" w:lineRule="auto"/>
                    <w:jc w:val="right"/>
                    <w:rPr>
                      <w:rFonts w:cs="Tahoma"/>
                      <w:sz w:val="6"/>
                      <w:szCs w:val="2"/>
                    </w:rPr>
                  </w:pPr>
                </w:p>
              </w:tc>
              <w:tc>
                <w:tcPr>
                  <w:tcW w:w="3475" w:type="pct"/>
                  <w:vMerge/>
                  <w:tcBorders>
                    <w:top w:val="single" w:sz="8" w:space="0" w:color="003C76"/>
                    <w:left w:val="nil"/>
                    <w:bottom w:val="single" w:sz="8" w:space="0" w:color="003C76"/>
                    <w:right w:val="single" w:sz="8" w:space="0" w:color="003C76"/>
                  </w:tcBorders>
                  <w:vAlign w:val="center"/>
                  <w:hideMark/>
                </w:tcPr>
                <w:p w14:paraId="4780D693" w14:textId="77777777" w:rsidR="00174521" w:rsidRPr="00927ADA" w:rsidRDefault="00174521" w:rsidP="00FC1944">
                  <w:pPr>
                    <w:spacing w:after="0" w:line="240" w:lineRule="auto"/>
                    <w:rPr>
                      <w:rFonts w:cs="Tahoma"/>
                      <w:szCs w:val="16"/>
                    </w:rPr>
                  </w:pPr>
                </w:p>
              </w:tc>
            </w:tr>
          </w:tbl>
          <w:p w14:paraId="0F53CA73" w14:textId="77777777" w:rsidR="00174521" w:rsidRPr="00FC1944" w:rsidRDefault="00174521" w:rsidP="00FC1944">
            <w:pPr>
              <w:pStyle w:val="Piedepgina"/>
              <w:jc w:val="right"/>
              <w:rPr>
                <w:rFonts w:cs="Tahoma"/>
              </w:rPr>
            </w:pPr>
            <w:r w:rsidRPr="00927ADA">
              <w:rPr>
                <w:rFonts w:cs="Tahoma"/>
                <w:lang w:val="es-MX"/>
              </w:rPr>
              <w:t xml:space="preserve">Página </w:t>
            </w:r>
            <w:r w:rsidRPr="00927ADA">
              <w:rPr>
                <w:rFonts w:cs="Tahoma"/>
              </w:rPr>
              <w:fldChar w:fldCharType="begin"/>
            </w:r>
            <w:r w:rsidRPr="00927ADA">
              <w:rPr>
                <w:rFonts w:cs="Tahoma"/>
              </w:rPr>
              <w:instrText xml:space="preserve"> PAGE   \* MERGEFORMAT </w:instrText>
            </w:r>
            <w:r w:rsidRPr="00927ADA">
              <w:rPr>
                <w:rFonts w:cs="Tahoma"/>
              </w:rPr>
              <w:fldChar w:fldCharType="separate"/>
            </w:r>
            <w:r>
              <w:rPr>
                <w:rFonts w:cs="Tahoma"/>
              </w:rPr>
              <w:t>1</w:t>
            </w:r>
            <w:r w:rsidRPr="00927ADA">
              <w:rPr>
                <w:rFonts w:cs="Tahoma"/>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ahoma"/>
        <w:sz w:val="18"/>
        <w:szCs w:val="18"/>
        <w:lang w:val="x-none" w:eastAsia="x-none"/>
      </w:rPr>
      <w:id w:val="-1599246444"/>
      <w:docPartObj>
        <w:docPartGallery w:val="Page Numbers (Bottom of Page)"/>
        <w:docPartUnique/>
      </w:docPartObj>
    </w:sdtPr>
    <w:sdtEndPr>
      <w:rPr>
        <w:lang w:val="es-CR" w:eastAsia="en-US"/>
      </w:rPr>
    </w:sdtEndPr>
    <w:sdtContent>
      <w:sdt>
        <w:sdtPr>
          <w:rPr>
            <w:rFonts w:cs="Tahoma"/>
            <w:sz w:val="18"/>
            <w:szCs w:val="18"/>
            <w:lang w:val="x-none" w:eastAsia="x-none"/>
          </w:rPr>
          <w:id w:val="-576987330"/>
          <w:docPartObj>
            <w:docPartGallery w:val="Page Numbers (Top of Page)"/>
            <w:docPartUnique/>
          </w:docPartObj>
        </w:sdtPr>
        <w:sdtEndPr>
          <w:rPr>
            <w:lang w:val="es-CR" w:eastAsia="en-US"/>
          </w:rPr>
        </w:sdtEndPr>
        <w:sdtContent>
          <w:tbl>
            <w:tblPr>
              <w:tblW w:w="5000" w:type="pct"/>
              <w:tblLook w:val="04A0" w:firstRow="1" w:lastRow="0" w:firstColumn="1" w:lastColumn="0" w:noHBand="0" w:noVBand="1"/>
            </w:tblPr>
            <w:tblGrid>
              <w:gridCol w:w="1842"/>
              <w:gridCol w:w="851"/>
              <w:gridCol w:w="6136"/>
            </w:tblGrid>
            <w:tr w:rsidR="00914A1E" w14:paraId="761B4F6E" w14:textId="77777777" w:rsidTr="00FC1944">
              <w:trPr>
                <w:trHeight w:val="64"/>
              </w:trPr>
              <w:tc>
                <w:tcPr>
                  <w:tcW w:w="1043" w:type="pct"/>
                  <w:tcBorders>
                    <w:top w:val="nil"/>
                    <w:left w:val="nil"/>
                    <w:bottom w:val="nil"/>
                    <w:right w:val="single" w:sz="8" w:space="0" w:color="003C76"/>
                  </w:tcBorders>
                </w:tcPr>
                <w:p w14:paraId="567D4CF5" w14:textId="77777777" w:rsidR="00914A1E" w:rsidRPr="00927ADA" w:rsidRDefault="00914A1E" w:rsidP="00FC1944">
                  <w:pPr>
                    <w:spacing w:after="0" w:line="240" w:lineRule="auto"/>
                    <w:jc w:val="right"/>
                    <w:rPr>
                      <w:rFonts w:cs="Tahoma"/>
                      <w:sz w:val="6"/>
                      <w:szCs w:val="2"/>
                    </w:rPr>
                  </w:pPr>
                </w:p>
              </w:tc>
              <w:tc>
                <w:tcPr>
                  <w:tcW w:w="482" w:type="pct"/>
                  <w:tcBorders>
                    <w:top w:val="single" w:sz="8" w:space="0" w:color="003C76"/>
                    <w:left w:val="single" w:sz="8" w:space="0" w:color="003C76"/>
                    <w:bottom w:val="nil"/>
                    <w:right w:val="nil"/>
                  </w:tcBorders>
                </w:tcPr>
                <w:p w14:paraId="1FFE26B3" w14:textId="77777777" w:rsidR="00914A1E" w:rsidRPr="00927ADA" w:rsidRDefault="00914A1E" w:rsidP="00FC1944">
                  <w:pPr>
                    <w:spacing w:after="0" w:line="240" w:lineRule="auto"/>
                    <w:jc w:val="right"/>
                    <w:rPr>
                      <w:rFonts w:cs="Tahoma"/>
                      <w:sz w:val="6"/>
                      <w:szCs w:val="2"/>
                    </w:rPr>
                  </w:pPr>
                </w:p>
              </w:tc>
              <w:tc>
                <w:tcPr>
                  <w:tcW w:w="3475" w:type="pct"/>
                  <w:vMerge w:val="restart"/>
                  <w:tcBorders>
                    <w:top w:val="single" w:sz="8" w:space="0" w:color="003C76"/>
                    <w:left w:val="nil"/>
                    <w:bottom w:val="single" w:sz="8" w:space="0" w:color="003C76"/>
                    <w:right w:val="single" w:sz="8" w:space="0" w:color="003C76"/>
                  </w:tcBorders>
                  <w:vAlign w:val="center"/>
                  <w:hideMark/>
                </w:tcPr>
                <w:p w14:paraId="741F76BE" w14:textId="77777777" w:rsidR="00914A1E" w:rsidRPr="00927ADA" w:rsidRDefault="00914A1E" w:rsidP="00FC1944">
                  <w:pPr>
                    <w:spacing w:after="0" w:line="240" w:lineRule="auto"/>
                    <w:jc w:val="right"/>
                    <w:rPr>
                      <w:rFonts w:cs="Tahoma"/>
                      <w:sz w:val="18"/>
                      <w:szCs w:val="18"/>
                    </w:rPr>
                  </w:pPr>
                  <w:r w:rsidRPr="00927ADA">
                    <w:rPr>
                      <w:rFonts w:cs="Tahoma"/>
                      <w:sz w:val="18"/>
                      <w:szCs w:val="18"/>
                    </w:rPr>
                    <w:t xml:space="preserve">Página Web: </w:t>
                  </w:r>
                  <w:hyperlink r:id="rId1" w:history="1">
                    <w:r w:rsidRPr="00927ADA">
                      <w:rPr>
                        <w:rStyle w:val="Hipervnculo"/>
                        <w:rFonts w:cs="Tahoma"/>
                        <w:sz w:val="18"/>
                        <w:szCs w:val="18"/>
                      </w:rPr>
                      <w:t>www.mjp.go.cr</w:t>
                    </w:r>
                  </w:hyperlink>
                </w:p>
              </w:tc>
            </w:tr>
            <w:tr w:rsidR="00914A1E" w14:paraId="34F1F468" w14:textId="77777777" w:rsidTr="00FC1944">
              <w:trPr>
                <w:trHeight w:val="317"/>
              </w:trPr>
              <w:tc>
                <w:tcPr>
                  <w:tcW w:w="1525" w:type="pct"/>
                  <w:gridSpan w:val="2"/>
                  <w:shd w:val="clear" w:color="auto" w:fill="003C76"/>
                  <w:vAlign w:val="center"/>
                  <w:hideMark/>
                </w:tcPr>
                <w:p w14:paraId="10C32B45" w14:textId="77777777" w:rsidR="00914A1E" w:rsidRPr="00927ADA" w:rsidRDefault="00914A1E" w:rsidP="00FC1944">
                  <w:pPr>
                    <w:spacing w:after="0" w:line="240" w:lineRule="auto"/>
                    <w:jc w:val="center"/>
                    <w:rPr>
                      <w:rFonts w:cs="Tahoma"/>
                      <w:b/>
                      <w:color w:val="FFFFFF" w:themeColor="background1"/>
                      <w:sz w:val="14"/>
                    </w:rPr>
                  </w:pPr>
                  <w:r w:rsidRPr="00927ADA">
                    <w:rPr>
                      <w:rFonts w:cs="Tahoma"/>
                      <w:b/>
                      <w:color w:val="FFFFFF" w:themeColor="background1"/>
                    </w:rPr>
                    <w:t>Ministerio de Justicia y Paz</w:t>
                  </w:r>
                </w:p>
              </w:tc>
              <w:tc>
                <w:tcPr>
                  <w:tcW w:w="3475" w:type="pct"/>
                  <w:vMerge/>
                  <w:tcBorders>
                    <w:top w:val="single" w:sz="8" w:space="0" w:color="003C76"/>
                    <w:left w:val="nil"/>
                    <w:bottom w:val="single" w:sz="8" w:space="0" w:color="003C76"/>
                    <w:right w:val="single" w:sz="8" w:space="0" w:color="003C76"/>
                  </w:tcBorders>
                  <w:vAlign w:val="center"/>
                  <w:hideMark/>
                </w:tcPr>
                <w:p w14:paraId="2A5FB6BB" w14:textId="77777777" w:rsidR="00914A1E" w:rsidRPr="00927ADA" w:rsidRDefault="00914A1E" w:rsidP="00FC1944">
                  <w:pPr>
                    <w:spacing w:after="0" w:line="240" w:lineRule="auto"/>
                    <w:rPr>
                      <w:rFonts w:cs="Tahoma"/>
                      <w:color w:val="FFFFFF" w:themeColor="background1"/>
                      <w:szCs w:val="16"/>
                    </w:rPr>
                  </w:pPr>
                </w:p>
              </w:tc>
            </w:tr>
            <w:tr w:rsidR="00914A1E" w14:paraId="2635FE4C" w14:textId="77777777" w:rsidTr="00FC1944">
              <w:trPr>
                <w:trHeight w:val="27"/>
              </w:trPr>
              <w:tc>
                <w:tcPr>
                  <w:tcW w:w="1043" w:type="pct"/>
                  <w:tcBorders>
                    <w:top w:val="nil"/>
                    <w:left w:val="nil"/>
                    <w:bottom w:val="nil"/>
                    <w:right w:val="single" w:sz="8" w:space="0" w:color="003C76"/>
                  </w:tcBorders>
                </w:tcPr>
                <w:p w14:paraId="413A16C4" w14:textId="77777777" w:rsidR="00914A1E" w:rsidRPr="00927ADA" w:rsidRDefault="00914A1E" w:rsidP="00FC1944">
                  <w:pPr>
                    <w:spacing w:after="0" w:line="240" w:lineRule="auto"/>
                    <w:jc w:val="right"/>
                    <w:rPr>
                      <w:rFonts w:cs="Tahoma"/>
                      <w:sz w:val="6"/>
                      <w:szCs w:val="2"/>
                    </w:rPr>
                  </w:pPr>
                </w:p>
              </w:tc>
              <w:tc>
                <w:tcPr>
                  <w:tcW w:w="482" w:type="pct"/>
                  <w:tcBorders>
                    <w:top w:val="nil"/>
                    <w:left w:val="single" w:sz="8" w:space="0" w:color="003C76"/>
                    <w:bottom w:val="single" w:sz="8" w:space="0" w:color="003C76"/>
                    <w:right w:val="nil"/>
                  </w:tcBorders>
                </w:tcPr>
                <w:p w14:paraId="6C884700" w14:textId="77777777" w:rsidR="00914A1E" w:rsidRPr="00927ADA" w:rsidRDefault="00914A1E" w:rsidP="00FC1944">
                  <w:pPr>
                    <w:spacing w:after="0" w:line="240" w:lineRule="auto"/>
                    <w:jc w:val="right"/>
                    <w:rPr>
                      <w:rFonts w:cs="Tahoma"/>
                      <w:sz w:val="6"/>
                      <w:szCs w:val="2"/>
                    </w:rPr>
                  </w:pPr>
                </w:p>
              </w:tc>
              <w:tc>
                <w:tcPr>
                  <w:tcW w:w="3475" w:type="pct"/>
                  <w:vMerge/>
                  <w:tcBorders>
                    <w:top w:val="single" w:sz="8" w:space="0" w:color="003C76"/>
                    <w:left w:val="nil"/>
                    <w:bottom w:val="single" w:sz="8" w:space="0" w:color="003C76"/>
                    <w:right w:val="single" w:sz="8" w:space="0" w:color="003C76"/>
                  </w:tcBorders>
                  <w:vAlign w:val="center"/>
                  <w:hideMark/>
                </w:tcPr>
                <w:p w14:paraId="4318B71F" w14:textId="77777777" w:rsidR="00914A1E" w:rsidRPr="00927ADA" w:rsidRDefault="00914A1E" w:rsidP="00FC1944">
                  <w:pPr>
                    <w:spacing w:after="0" w:line="240" w:lineRule="auto"/>
                    <w:rPr>
                      <w:rFonts w:cs="Tahoma"/>
                      <w:szCs w:val="16"/>
                    </w:rPr>
                  </w:pPr>
                </w:p>
              </w:tc>
            </w:tr>
          </w:tbl>
          <w:p w14:paraId="006981E1" w14:textId="77777777" w:rsidR="00914A1E" w:rsidRPr="00FC1944" w:rsidRDefault="00914A1E" w:rsidP="00FC1944">
            <w:pPr>
              <w:pStyle w:val="Piedepgina"/>
              <w:jc w:val="right"/>
              <w:rPr>
                <w:rFonts w:cs="Tahoma"/>
              </w:rPr>
            </w:pPr>
            <w:r w:rsidRPr="00927ADA">
              <w:rPr>
                <w:rFonts w:cs="Tahoma"/>
                <w:lang w:val="es-MX"/>
              </w:rPr>
              <w:t xml:space="preserve">Página </w:t>
            </w:r>
            <w:r w:rsidRPr="00927ADA">
              <w:rPr>
                <w:rFonts w:cs="Tahoma"/>
              </w:rPr>
              <w:fldChar w:fldCharType="begin"/>
            </w:r>
            <w:r w:rsidRPr="00927ADA">
              <w:rPr>
                <w:rFonts w:cs="Tahoma"/>
              </w:rPr>
              <w:instrText xml:space="preserve"> PAGE   \* MERGEFORMAT </w:instrText>
            </w:r>
            <w:r w:rsidRPr="00927ADA">
              <w:rPr>
                <w:rFonts w:cs="Tahoma"/>
              </w:rPr>
              <w:fldChar w:fldCharType="separate"/>
            </w:r>
            <w:r>
              <w:rPr>
                <w:rFonts w:cs="Tahoma"/>
              </w:rPr>
              <w:t>1</w:t>
            </w:r>
            <w:r w:rsidRPr="00927ADA">
              <w:rPr>
                <w:rFonts w:cs="Tahoma"/>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F815A" w14:textId="77777777" w:rsidR="00905218" w:rsidRDefault="00905218" w:rsidP="00BD5F12">
      <w:pPr>
        <w:spacing w:after="0" w:line="240" w:lineRule="auto"/>
      </w:pPr>
      <w:r>
        <w:separator/>
      </w:r>
    </w:p>
  </w:footnote>
  <w:footnote w:type="continuationSeparator" w:id="0">
    <w:p w14:paraId="0551F938" w14:textId="77777777" w:rsidR="00905218" w:rsidRDefault="00905218" w:rsidP="00BD5F12">
      <w:pPr>
        <w:spacing w:after="0" w:line="240" w:lineRule="auto"/>
      </w:pPr>
      <w:r>
        <w:continuationSeparator/>
      </w:r>
    </w:p>
  </w:footnote>
  <w:footnote w:type="continuationNotice" w:id="1">
    <w:p w14:paraId="0D48BC44" w14:textId="77777777" w:rsidR="00905218" w:rsidRDefault="00905218">
      <w:pPr>
        <w:spacing w:after="0" w:line="240" w:lineRule="auto"/>
      </w:pPr>
    </w:p>
  </w:footnote>
  <w:footnote w:id="2">
    <w:p w14:paraId="58FC19DF" w14:textId="77777777" w:rsidR="00522D1B" w:rsidRPr="00930526" w:rsidRDefault="00522D1B" w:rsidP="000C1936">
      <w:pPr>
        <w:ind w:left="-567"/>
        <w:rPr>
          <w:rFonts w:cs="Tahoma"/>
          <w:szCs w:val="16"/>
        </w:rPr>
      </w:pPr>
      <w:r w:rsidRPr="00930526">
        <w:rPr>
          <w:rStyle w:val="Refdenotaalpie"/>
          <w:rFonts w:cs="Tahoma"/>
          <w:sz w:val="14"/>
          <w:szCs w:val="14"/>
        </w:rPr>
        <w:footnoteRef/>
      </w:r>
      <w:r w:rsidRPr="00930526">
        <w:rPr>
          <w:rFonts w:cs="Tahoma"/>
          <w:sz w:val="14"/>
          <w:szCs w:val="14"/>
        </w:rPr>
        <w:t xml:space="preserve"> La meta se establece mediante un rango máximo y minino de cumplimiento, el cual considera la meta propuesta y la línea base, si esta sobrepasa el rango máximo el cumplimiento de la meta es bajo</w:t>
      </w:r>
      <w:r w:rsidRPr="00930526">
        <w:rPr>
          <w:rFonts w:cs="Tahoma"/>
          <w:szCs w:val="16"/>
        </w:rPr>
        <w:t>.</w:t>
      </w:r>
    </w:p>
    <w:p w14:paraId="5A795B59" w14:textId="77777777" w:rsidR="00522D1B" w:rsidRPr="00930526" w:rsidRDefault="00522D1B" w:rsidP="000C1936">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E9CA" w14:textId="741A2DA8" w:rsidR="001618C7" w:rsidRDefault="001618C7" w:rsidP="00191DE9">
    <w:pPr>
      <w:pStyle w:val="Encabezado"/>
      <w:ind w:left="142"/>
      <w:jc w:val="center"/>
      <w:rPr>
        <w:rFonts w:ascii="Arial" w:hAnsi="Arial" w:cs="Arial"/>
        <w:b/>
        <w:highlight w:val="yellow"/>
        <w:lang w:val="es-ES"/>
      </w:rPr>
    </w:pPr>
    <w:r>
      <w:rPr>
        <w:noProof/>
      </w:rPr>
      <w:drawing>
        <wp:anchor distT="0" distB="0" distL="114300" distR="114300" simplePos="0" relativeHeight="251658240" behindDoc="1" locked="0" layoutInCell="1" allowOverlap="1" wp14:anchorId="07F5C945" wp14:editId="2B56698A">
          <wp:simplePos x="0" y="0"/>
          <wp:positionH relativeFrom="column">
            <wp:posOffset>12472670</wp:posOffset>
          </wp:positionH>
          <wp:positionV relativeFrom="paragraph">
            <wp:posOffset>-83185</wp:posOffset>
          </wp:positionV>
          <wp:extent cx="899886" cy="913761"/>
          <wp:effectExtent l="0" t="0" r="0" b="127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JP.jpg"/>
                  <pic:cNvPicPr/>
                </pic:nvPicPr>
                <pic:blipFill>
                  <a:blip r:embed="rId1">
                    <a:extLst>
                      <a:ext uri="{28A0092B-C50C-407E-A947-70E740481C1C}">
                        <a14:useLocalDpi xmlns:a14="http://schemas.microsoft.com/office/drawing/2010/main" val="0"/>
                      </a:ext>
                    </a:extLst>
                  </a:blip>
                  <a:stretch>
                    <a:fillRect/>
                  </a:stretch>
                </pic:blipFill>
                <pic:spPr>
                  <a:xfrm>
                    <a:off x="0" y="0"/>
                    <a:ext cx="899886" cy="91376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9D32" w14:textId="77777777" w:rsidR="00596D02" w:rsidRDefault="00596D02" w:rsidP="00B57505">
    <w:pPr>
      <w:jc w:val="center"/>
      <w:rPr>
        <w:rFonts w:ascii="HendersonSansW00-BasicSmBd" w:hAnsi="HendersonSansW00-BasicSmBd" w:cs="Arial"/>
        <w:b/>
        <w:color w:val="1E2957"/>
      </w:rPr>
    </w:pPr>
    <w:r w:rsidRPr="00537D54">
      <w:rPr>
        <w:noProof/>
      </w:rPr>
      <w:drawing>
        <wp:anchor distT="0" distB="0" distL="114300" distR="114300" simplePos="0" relativeHeight="251660291" behindDoc="0" locked="0" layoutInCell="1" allowOverlap="1" wp14:anchorId="6C558919" wp14:editId="287980FD">
          <wp:simplePos x="0" y="0"/>
          <wp:positionH relativeFrom="margin">
            <wp:align>center</wp:align>
          </wp:positionH>
          <wp:positionV relativeFrom="paragraph">
            <wp:posOffset>-68580</wp:posOffset>
          </wp:positionV>
          <wp:extent cx="3918585" cy="844550"/>
          <wp:effectExtent l="0" t="0" r="5715"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INISTERIO DE -JUSTICIA Y PAZ.png"/>
                  <pic:cNvPicPr/>
                </pic:nvPicPr>
                <pic:blipFill>
                  <a:blip r:embed="rId1">
                    <a:extLst>
                      <a:ext uri="{28A0092B-C50C-407E-A947-70E740481C1C}">
                        <a14:useLocalDpi xmlns:a14="http://schemas.microsoft.com/office/drawing/2010/main" val="0"/>
                      </a:ext>
                    </a:extLst>
                  </a:blip>
                  <a:stretch>
                    <a:fillRect/>
                  </a:stretch>
                </pic:blipFill>
                <pic:spPr>
                  <a:xfrm>
                    <a:off x="0" y="0"/>
                    <a:ext cx="3918585" cy="844550"/>
                  </a:xfrm>
                  <a:prstGeom prst="rect">
                    <a:avLst/>
                  </a:prstGeom>
                </pic:spPr>
              </pic:pic>
            </a:graphicData>
          </a:graphic>
          <wp14:sizeRelH relativeFrom="page">
            <wp14:pctWidth>0</wp14:pctWidth>
          </wp14:sizeRelH>
          <wp14:sizeRelV relativeFrom="page">
            <wp14:pctHeight>0</wp14:pctHeight>
          </wp14:sizeRelV>
        </wp:anchor>
      </w:drawing>
    </w:r>
    <w:r>
      <w:rPr>
        <w:rFonts w:ascii="HendersonSansW00-BasicSmBd" w:hAnsi="HendersonSansW00-BasicSmBd" w:cs="Arial"/>
        <w:b/>
        <w:color w:val="1E2957"/>
      </w:rPr>
      <w:t>Secretaría de Planificación Sectorial e Institucional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EDD5D" w14:textId="77777777" w:rsidR="001618C7" w:rsidRPr="00372D43" w:rsidRDefault="001618C7" w:rsidP="00B57505">
    <w:pPr>
      <w:jc w:val="center"/>
      <w:rPr>
        <w:rFonts w:ascii="HendersonSansW00-BasicSmBd" w:hAnsi="HendersonSansW00-BasicSmBd" w:cs="Arial"/>
        <w:b/>
        <w:color w:val="1E2957"/>
        <w:sz w:val="22"/>
      </w:rPr>
    </w:pPr>
    <w:r w:rsidRPr="00372D43">
      <w:rPr>
        <w:noProof/>
        <w:sz w:val="22"/>
      </w:rPr>
      <w:drawing>
        <wp:anchor distT="0" distB="0" distL="114300" distR="114300" simplePos="0" relativeHeight="251658242" behindDoc="0" locked="0" layoutInCell="1" allowOverlap="1" wp14:anchorId="53BF0D61" wp14:editId="63711ED9">
          <wp:simplePos x="0" y="0"/>
          <wp:positionH relativeFrom="margin">
            <wp:align>center</wp:align>
          </wp:positionH>
          <wp:positionV relativeFrom="paragraph">
            <wp:posOffset>-68580</wp:posOffset>
          </wp:positionV>
          <wp:extent cx="3918585" cy="844550"/>
          <wp:effectExtent l="0" t="0" r="5715" b="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INISTERIO DE -JUSTICIA Y PAZ.png"/>
                  <pic:cNvPicPr/>
                </pic:nvPicPr>
                <pic:blipFill>
                  <a:blip r:embed="rId1">
                    <a:extLst>
                      <a:ext uri="{28A0092B-C50C-407E-A947-70E740481C1C}">
                        <a14:useLocalDpi xmlns:a14="http://schemas.microsoft.com/office/drawing/2010/main" val="0"/>
                      </a:ext>
                    </a:extLst>
                  </a:blip>
                  <a:stretch>
                    <a:fillRect/>
                  </a:stretch>
                </pic:blipFill>
                <pic:spPr>
                  <a:xfrm>
                    <a:off x="0" y="0"/>
                    <a:ext cx="3918585" cy="844550"/>
                  </a:xfrm>
                  <a:prstGeom prst="rect">
                    <a:avLst/>
                  </a:prstGeom>
                </pic:spPr>
              </pic:pic>
            </a:graphicData>
          </a:graphic>
          <wp14:sizeRelH relativeFrom="page">
            <wp14:pctWidth>0</wp14:pctWidth>
          </wp14:sizeRelH>
          <wp14:sizeRelV relativeFrom="page">
            <wp14:pctHeight>0</wp14:pctHeight>
          </wp14:sizeRelV>
        </wp:anchor>
      </w:drawing>
    </w:r>
    <w:r w:rsidRPr="00372D43">
      <w:rPr>
        <w:rFonts w:ascii="HendersonSansW00-BasicSmBd" w:hAnsi="HendersonSansW00-BasicSmBd" w:cs="Arial"/>
        <w:b/>
        <w:color w:val="1E2957"/>
        <w:sz w:val="22"/>
      </w:rPr>
      <w:t>Secretaría de Planificación Sectorial e Institucional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01BA0" w14:textId="77777777" w:rsidR="001618C7" w:rsidRPr="00372D43" w:rsidRDefault="001618C7" w:rsidP="00B57505">
    <w:pPr>
      <w:jc w:val="center"/>
      <w:rPr>
        <w:rFonts w:ascii="HendersonSansW00-BasicSmBd" w:hAnsi="HendersonSansW00-BasicSmBd" w:cs="Arial"/>
        <w:b/>
        <w:color w:val="1E2957"/>
        <w:sz w:val="22"/>
      </w:rPr>
    </w:pPr>
    <w:r w:rsidRPr="00372D43">
      <w:rPr>
        <w:noProof/>
        <w:sz w:val="22"/>
      </w:rPr>
      <w:drawing>
        <wp:anchor distT="0" distB="0" distL="114300" distR="114300" simplePos="0" relativeHeight="251658243" behindDoc="0" locked="0" layoutInCell="1" allowOverlap="1" wp14:anchorId="610089A3" wp14:editId="6CAD28C5">
          <wp:simplePos x="0" y="0"/>
          <wp:positionH relativeFrom="margin">
            <wp:align>center</wp:align>
          </wp:positionH>
          <wp:positionV relativeFrom="paragraph">
            <wp:posOffset>-68580</wp:posOffset>
          </wp:positionV>
          <wp:extent cx="3918585" cy="844550"/>
          <wp:effectExtent l="0" t="0" r="5715" b="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INISTERIO DE -JUSTICIA Y PAZ.png"/>
                  <pic:cNvPicPr/>
                </pic:nvPicPr>
                <pic:blipFill>
                  <a:blip r:embed="rId1">
                    <a:extLst>
                      <a:ext uri="{28A0092B-C50C-407E-A947-70E740481C1C}">
                        <a14:useLocalDpi xmlns:a14="http://schemas.microsoft.com/office/drawing/2010/main" val="0"/>
                      </a:ext>
                    </a:extLst>
                  </a:blip>
                  <a:stretch>
                    <a:fillRect/>
                  </a:stretch>
                </pic:blipFill>
                <pic:spPr>
                  <a:xfrm>
                    <a:off x="0" y="0"/>
                    <a:ext cx="3918585" cy="844550"/>
                  </a:xfrm>
                  <a:prstGeom prst="rect">
                    <a:avLst/>
                  </a:prstGeom>
                </pic:spPr>
              </pic:pic>
            </a:graphicData>
          </a:graphic>
          <wp14:sizeRelH relativeFrom="page">
            <wp14:pctWidth>0</wp14:pctWidth>
          </wp14:sizeRelH>
          <wp14:sizeRelV relativeFrom="page">
            <wp14:pctHeight>0</wp14:pctHeight>
          </wp14:sizeRelV>
        </wp:anchor>
      </w:drawing>
    </w:r>
    <w:r w:rsidRPr="00372D43">
      <w:rPr>
        <w:rFonts w:ascii="HendersonSansW00-BasicSmBd" w:hAnsi="HendersonSansW00-BasicSmBd" w:cs="Arial"/>
        <w:b/>
        <w:color w:val="1E2957"/>
        <w:sz w:val="22"/>
      </w:rPr>
      <w:t>Secretaría de Planificación Sectorial e Institucional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077B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660E69"/>
    <w:multiLevelType w:val="hybridMultilevel"/>
    <w:tmpl w:val="FC668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50C3BA0"/>
    <w:multiLevelType w:val="multilevel"/>
    <w:tmpl w:val="B25CF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163C11"/>
    <w:multiLevelType w:val="hybridMultilevel"/>
    <w:tmpl w:val="A2947F98"/>
    <w:lvl w:ilvl="0" w:tplc="140A0001">
      <w:start w:val="1"/>
      <w:numFmt w:val="bullet"/>
      <w:lvlText w:val=""/>
      <w:lvlJc w:val="left"/>
      <w:pPr>
        <w:ind w:left="812" w:hanging="360"/>
      </w:pPr>
      <w:rPr>
        <w:rFonts w:ascii="Symbol" w:hAnsi="Symbol" w:hint="default"/>
      </w:rPr>
    </w:lvl>
    <w:lvl w:ilvl="1" w:tplc="140A0003" w:tentative="1">
      <w:start w:val="1"/>
      <w:numFmt w:val="bullet"/>
      <w:lvlText w:val="o"/>
      <w:lvlJc w:val="left"/>
      <w:pPr>
        <w:ind w:left="1532" w:hanging="360"/>
      </w:pPr>
      <w:rPr>
        <w:rFonts w:ascii="Courier New" w:hAnsi="Courier New" w:cs="Courier New" w:hint="default"/>
      </w:rPr>
    </w:lvl>
    <w:lvl w:ilvl="2" w:tplc="140A0005" w:tentative="1">
      <w:start w:val="1"/>
      <w:numFmt w:val="bullet"/>
      <w:lvlText w:val=""/>
      <w:lvlJc w:val="left"/>
      <w:pPr>
        <w:ind w:left="2252" w:hanging="360"/>
      </w:pPr>
      <w:rPr>
        <w:rFonts w:ascii="Wingdings" w:hAnsi="Wingdings" w:hint="default"/>
      </w:rPr>
    </w:lvl>
    <w:lvl w:ilvl="3" w:tplc="140A0001" w:tentative="1">
      <w:start w:val="1"/>
      <w:numFmt w:val="bullet"/>
      <w:lvlText w:val=""/>
      <w:lvlJc w:val="left"/>
      <w:pPr>
        <w:ind w:left="2972" w:hanging="360"/>
      </w:pPr>
      <w:rPr>
        <w:rFonts w:ascii="Symbol" w:hAnsi="Symbol" w:hint="default"/>
      </w:rPr>
    </w:lvl>
    <w:lvl w:ilvl="4" w:tplc="140A0003" w:tentative="1">
      <w:start w:val="1"/>
      <w:numFmt w:val="bullet"/>
      <w:lvlText w:val="o"/>
      <w:lvlJc w:val="left"/>
      <w:pPr>
        <w:ind w:left="3692" w:hanging="360"/>
      </w:pPr>
      <w:rPr>
        <w:rFonts w:ascii="Courier New" w:hAnsi="Courier New" w:cs="Courier New" w:hint="default"/>
      </w:rPr>
    </w:lvl>
    <w:lvl w:ilvl="5" w:tplc="140A0005" w:tentative="1">
      <w:start w:val="1"/>
      <w:numFmt w:val="bullet"/>
      <w:lvlText w:val=""/>
      <w:lvlJc w:val="left"/>
      <w:pPr>
        <w:ind w:left="4412" w:hanging="360"/>
      </w:pPr>
      <w:rPr>
        <w:rFonts w:ascii="Wingdings" w:hAnsi="Wingdings" w:hint="default"/>
      </w:rPr>
    </w:lvl>
    <w:lvl w:ilvl="6" w:tplc="140A0001" w:tentative="1">
      <w:start w:val="1"/>
      <w:numFmt w:val="bullet"/>
      <w:lvlText w:val=""/>
      <w:lvlJc w:val="left"/>
      <w:pPr>
        <w:ind w:left="5132" w:hanging="360"/>
      </w:pPr>
      <w:rPr>
        <w:rFonts w:ascii="Symbol" w:hAnsi="Symbol" w:hint="default"/>
      </w:rPr>
    </w:lvl>
    <w:lvl w:ilvl="7" w:tplc="140A0003" w:tentative="1">
      <w:start w:val="1"/>
      <w:numFmt w:val="bullet"/>
      <w:lvlText w:val="o"/>
      <w:lvlJc w:val="left"/>
      <w:pPr>
        <w:ind w:left="5852" w:hanging="360"/>
      </w:pPr>
      <w:rPr>
        <w:rFonts w:ascii="Courier New" w:hAnsi="Courier New" w:cs="Courier New" w:hint="default"/>
      </w:rPr>
    </w:lvl>
    <w:lvl w:ilvl="8" w:tplc="140A0005" w:tentative="1">
      <w:start w:val="1"/>
      <w:numFmt w:val="bullet"/>
      <w:lvlText w:val=""/>
      <w:lvlJc w:val="left"/>
      <w:pPr>
        <w:ind w:left="6572" w:hanging="360"/>
      </w:pPr>
      <w:rPr>
        <w:rFonts w:ascii="Wingdings" w:hAnsi="Wingdings" w:hint="default"/>
      </w:rPr>
    </w:lvl>
  </w:abstractNum>
  <w:abstractNum w:abstractNumId="4" w15:restartNumberingAfterBreak="0">
    <w:nsid w:val="08EE512E"/>
    <w:multiLevelType w:val="hybridMultilevel"/>
    <w:tmpl w:val="E2B040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B24D6B"/>
    <w:multiLevelType w:val="hybridMultilevel"/>
    <w:tmpl w:val="9D7072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2FE4D1E"/>
    <w:multiLevelType w:val="hybridMultilevel"/>
    <w:tmpl w:val="65FCDB42"/>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7A011A9"/>
    <w:multiLevelType w:val="hybridMultilevel"/>
    <w:tmpl w:val="504CCB08"/>
    <w:lvl w:ilvl="0" w:tplc="140A0001">
      <w:start w:val="1"/>
      <w:numFmt w:val="bullet"/>
      <w:lvlText w:val=""/>
      <w:lvlJc w:val="left"/>
      <w:pPr>
        <w:ind w:left="2586" w:hanging="360"/>
      </w:pPr>
      <w:rPr>
        <w:rFonts w:ascii="Symbol" w:hAnsi="Symbol" w:hint="default"/>
      </w:rPr>
    </w:lvl>
    <w:lvl w:ilvl="1" w:tplc="140A0003" w:tentative="1">
      <w:start w:val="1"/>
      <w:numFmt w:val="bullet"/>
      <w:lvlText w:val="o"/>
      <w:lvlJc w:val="left"/>
      <w:pPr>
        <w:ind w:left="3306" w:hanging="360"/>
      </w:pPr>
      <w:rPr>
        <w:rFonts w:ascii="Courier New" w:hAnsi="Courier New" w:cs="Courier New" w:hint="default"/>
      </w:rPr>
    </w:lvl>
    <w:lvl w:ilvl="2" w:tplc="140A0005" w:tentative="1">
      <w:start w:val="1"/>
      <w:numFmt w:val="bullet"/>
      <w:lvlText w:val=""/>
      <w:lvlJc w:val="left"/>
      <w:pPr>
        <w:ind w:left="4026" w:hanging="360"/>
      </w:pPr>
      <w:rPr>
        <w:rFonts w:ascii="Wingdings" w:hAnsi="Wingdings" w:hint="default"/>
      </w:rPr>
    </w:lvl>
    <w:lvl w:ilvl="3" w:tplc="140A0001" w:tentative="1">
      <w:start w:val="1"/>
      <w:numFmt w:val="bullet"/>
      <w:lvlText w:val=""/>
      <w:lvlJc w:val="left"/>
      <w:pPr>
        <w:ind w:left="4746" w:hanging="360"/>
      </w:pPr>
      <w:rPr>
        <w:rFonts w:ascii="Symbol" w:hAnsi="Symbol" w:hint="default"/>
      </w:rPr>
    </w:lvl>
    <w:lvl w:ilvl="4" w:tplc="140A0003" w:tentative="1">
      <w:start w:val="1"/>
      <w:numFmt w:val="bullet"/>
      <w:lvlText w:val="o"/>
      <w:lvlJc w:val="left"/>
      <w:pPr>
        <w:ind w:left="5466" w:hanging="360"/>
      </w:pPr>
      <w:rPr>
        <w:rFonts w:ascii="Courier New" w:hAnsi="Courier New" w:cs="Courier New" w:hint="default"/>
      </w:rPr>
    </w:lvl>
    <w:lvl w:ilvl="5" w:tplc="140A0005" w:tentative="1">
      <w:start w:val="1"/>
      <w:numFmt w:val="bullet"/>
      <w:lvlText w:val=""/>
      <w:lvlJc w:val="left"/>
      <w:pPr>
        <w:ind w:left="6186" w:hanging="360"/>
      </w:pPr>
      <w:rPr>
        <w:rFonts w:ascii="Wingdings" w:hAnsi="Wingdings" w:hint="default"/>
      </w:rPr>
    </w:lvl>
    <w:lvl w:ilvl="6" w:tplc="140A0001" w:tentative="1">
      <w:start w:val="1"/>
      <w:numFmt w:val="bullet"/>
      <w:lvlText w:val=""/>
      <w:lvlJc w:val="left"/>
      <w:pPr>
        <w:ind w:left="6906" w:hanging="360"/>
      </w:pPr>
      <w:rPr>
        <w:rFonts w:ascii="Symbol" w:hAnsi="Symbol" w:hint="default"/>
      </w:rPr>
    </w:lvl>
    <w:lvl w:ilvl="7" w:tplc="140A0003" w:tentative="1">
      <w:start w:val="1"/>
      <w:numFmt w:val="bullet"/>
      <w:lvlText w:val="o"/>
      <w:lvlJc w:val="left"/>
      <w:pPr>
        <w:ind w:left="7626" w:hanging="360"/>
      </w:pPr>
      <w:rPr>
        <w:rFonts w:ascii="Courier New" w:hAnsi="Courier New" w:cs="Courier New" w:hint="default"/>
      </w:rPr>
    </w:lvl>
    <w:lvl w:ilvl="8" w:tplc="140A0005" w:tentative="1">
      <w:start w:val="1"/>
      <w:numFmt w:val="bullet"/>
      <w:lvlText w:val=""/>
      <w:lvlJc w:val="left"/>
      <w:pPr>
        <w:ind w:left="8346" w:hanging="360"/>
      </w:pPr>
      <w:rPr>
        <w:rFonts w:ascii="Wingdings" w:hAnsi="Wingdings" w:hint="default"/>
      </w:rPr>
    </w:lvl>
  </w:abstractNum>
  <w:abstractNum w:abstractNumId="8" w15:restartNumberingAfterBreak="0">
    <w:nsid w:val="19383974"/>
    <w:multiLevelType w:val="hybridMultilevel"/>
    <w:tmpl w:val="CD9C77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E7C4135"/>
    <w:multiLevelType w:val="hybridMultilevel"/>
    <w:tmpl w:val="792AC95C"/>
    <w:lvl w:ilvl="0" w:tplc="140A0019">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EE60550"/>
    <w:multiLevelType w:val="hybridMultilevel"/>
    <w:tmpl w:val="FD30E8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2A96B4D"/>
    <w:multiLevelType w:val="hybridMultilevel"/>
    <w:tmpl w:val="77B615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4160D50"/>
    <w:multiLevelType w:val="hybridMultilevel"/>
    <w:tmpl w:val="B93E2B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41E42EB"/>
    <w:multiLevelType w:val="multilevel"/>
    <w:tmpl w:val="F7F6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B5164E"/>
    <w:multiLevelType w:val="multilevel"/>
    <w:tmpl w:val="B25CF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0A5A91"/>
    <w:multiLevelType w:val="multilevel"/>
    <w:tmpl w:val="AE7C5B66"/>
    <w:lvl w:ilvl="0">
      <w:start w:val="1"/>
      <w:numFmt w:val="bullet"/>
      <w:lvlText w:val=""/>
      <w:lvlJc w:val="left"/>
      <w:pPr>
        <w:tabs>
          <w:tab w:val="num" w:pos="786"/>
        </w:tabs>
        <w:ind w:left="786" w:hanging="360"/>
      </w:pPr>
      <w:rPr>
        <w:rFonts w:ascii="Symbol" w:hAnsi="Symbol" w:hint="default"/>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6" w15:restartNumberingAfterBreak="0">
    <w:nsid w:val="2B7E318C"/>
    <w:multiLevelType w:val="multilevel"/>
    <w:tmpl w:val="0018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AC0580"/>
    <w:multiLevelType w:val="hybridMultilevel"/>
    <w:tmpl w:val="38D0F2E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CFE45F2"/>
    <w:multiLevelType w:val="hybridMultilevel"/>
    <w:tmpl w:val="3B6C32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D4D2E69"/>
    <w:multiLevelType w:val="hybridMultilevel"/>
    <w:tmpl w:val="2A0EDC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EED79D5"/>
    <w:multiLevelType w:val="multilevel"/>
    <w:tmpl w:val="57E0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463C5D"/>
    <w:multiLevelType w:val="multilevel"/>
    <w:tmpl w:val="0FB6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40209B"/>
    <w:multiLevelType w:val="hybridMultilevel"/>
    <w:tmpl w:val="056C3A40"/>
    <w:lvl w:ilvl="0" w:tplc="140A0001">
      <w:start w:val="1"/>
      <w:numFmt w:val="bullet"/>
      <w:lvlText w:val=""/>
      <w:lvlJc w:val="left"/>
      <w:pPr>
        <w:ind w:left="812" w:hanging="360"/>
      </w:pPr>
      <w:rPr>
        <w:rFonts w:ascii="Symbol" w:hAnsi="Symbol" w:hint="default"/>
      </w:rPr>
    </w:lvl>
    <w:lvl w:ilvl="1" w:tplc="140A0003" w:tentative="1">
      <w:start w:val="1"/>
      <w:numFmt w:val="bullet"/>
      <w:lvlText w:val="o"/>
      <w:lvlJc w:val="left"/>
      <w:pPr>
        <w:ind w:left="1532" w:hanging="360"/>
      </w:pPr>
      <w:rPr>
        <w:rFonts w:ascii="Courier New" w:hAnsi="Courier New" w:cs="Courier New" w:hint="default"/>
      </w:rPr>
    </w:lvl>
    <w:lvl w:ilvl="2" w:tplc="140A0005" w:tentative="1">
      <w:start w:val="1"/>
      <w:numFmt w:val="bullet"/>
      <w:lvlText w:val=""/>
      <w:lvlJc w:val="left"/>
      <w:pPr>
        <w:ind w:left="2252" w:hanging="360"/>
      </w:pPr>
      <w:rPr>
        <w:rFonts w:ascii="Wingdings" w:hAnsi="Wingdings" w:hint="default"/>
      </w:rPr>
    </w:lvl>
    <w:lvl w:ilvl="3" w:tplc="140A0001" w:tentative="1">
      <w:start w:val="1"/>
      <w:numFmt w:val="bullet"/>
      <w:lvlText w:val=""/>
      <w:lvlJc w:val="left"/>
      <w:pPr>
        <w:ind w:left="2972" w:hanging="360"/>
      </w:pPr>
      <w:rPr>
        <w:rFonts w:ascii="Symbol" w:hAnsi="Symbol" w:hint="default"/>
      </w:rPr>
    </w:lvl>
    <w:lvl w:ilvl="4" w:tplc="140A0003" w:tentative="1">
      <w:start w:val="1"/>
      <w:numFmt w:val="bullet"/>
      <w:lvlText w:val="o"/>
      <w:lvlJc w:val="left"/>
      <w:pPr>
        <w:ind w:left="3692" w:hanging="360"/>
      </w:pPr>
      <w:rPr>
        <w:rFonts w:ascii="Courier New" w:hAnsi="Courier New" w:cs="Courier New" w:hint="default"/>
      </w:rPr>
    </w:lvl>
    <w:lvl w:ilvl="5" w:tplc="140A0005" w:tentative="1">
      <w:start w:val="1"/>
      <w:numFmt w:val="bullet"/>
      <w:lvlText w:val=""/>
      <w:lvlJc w:val="left"/>
      <w:pPr>
        <w:ind w:left="4412" w:hanging="360"/>
      </w:pPr>
      <w:rPr>
        <w:rFonts w:ascii="Wingdings" w:hAnsi="Wingdings" w:hint="default"/>
      </w:rPr>
    </w:lvl>
    <w:lvl w:ilvl="6" w:tplc="140A0001" w:tentative="1">
      <w:start w:val="1"/>
      <w:numFmt w:val="bullet"/>
      <w:lvlText w:val=""/>
      <w:lvlJc w:val="left"/>
      <w:pPr>
        <w:ind w:left="5132" w:hanging="360"/>
      </w:pPr>
      <w:rPr>
        <w:rFonts w:ascii="Symbol" w:hAnsi="Symbol" w:hint="default"/>
      </w:rPr>
    </w:lvl>
    <w:lvl w:ilvl="7" w:tplc="140A0003" w:tentative="1">
      <w:start w:val="1"/>
      <w:numFmt w:val="bullet"/>
      <w:lvlText w:val="o"/>
      <w:lvlJc w:val="left"/>
      <w:pPr>
        <w:ind w:left="5852" w:hanging="360"/>
      </w:pPr>
      <w:rPr>
        <w:rFonts w:ascii="Courier New" w:hAnsi="Courier New" w:cs="Courier New" w:hint="default"/>
      </w:rPr>
    </w:lvl>
    <w:lvl w:ilvl="8" w:tplc="140A0005" w:tentative="1">
      <w:start w:val="1"/>
      <w:numFmt w:val="bullet"/>
      <w:lvlText w:val=""/>
      <w:lvlJc w:val="left"/>
      <w:pPr>
        <w:ind w:left="6572" w:hanging="360"/>
      </w:pPr>
      <w:rPr>
        <w:rFonts w:ascii="Wingdings" w:hAnsi="Wingdings" w:hint="default"/>
      </w:rPr>
    </w:lvl>
  </w:abstractNum>
  <w:abstractNum w:abstractNumId="23" w15:restartNumberingAfterBreak="0">
    <w:nsid w:val="31D73CD1"/>
    <w:multiLevelType w:val="hybridMultilevel"/>
    <w:tmpl w:val="CC72B0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23A251F"/>
    <w:multiLevelType w:val="hybridMultilevel"/>
    <w:tmpl w:val="8F5A0BEA"/>
    <w:lvl w:ilvl="0" w:tplc="DB3639E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24F4FF4"/>
    <w:multiLevelType w:val="multilevel"/>
    <w:tmpl w:val="0D5C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C1222F"/>
    <w:multiLevelType w:val="hybridMultilevel"/>
    <w:tmpl w:val="06625006"/>
    <w:lvl w:ilvl="0" w:tplc="140A0001">
      <w:start w:val="1"/>
      <w:numFmt w:val="bullet"/>
      <w:lvlText w:val=""/>
      <w:lvlJc w:val="left"/>
      <w:pPr>
        <w:ind w:left="812" w:hanging="360"/>
      </w:pPr>
      <w:rPr>
        <w:rFonts w:ascii="Symbol" w:hAnsi="Symbol" w:hint="default"/>
      </w:rPr>
    </w:lvl>
    <w:lvl w:ilvl="1" w:tplc="140A0003" w:tentative="1">
      <w:start w:val="1"/>
      <w:numFmt w:val="bullet"/>
      <w:lvlText w:val="o"/>
      <w:lvlJc w:val="left"/>
      <w:pPr>
        <w:ind w:left="1532" w:hanging="360"/>
      </w:pPr>
      <w:rPr>
        <w:rFonts w:ascii="Courier New" w:hAnsi="Courier New" w:cs="Courier New" w:hint="default"/>
      </w:rPr>
    </w:lvl>
    <w:lvl w:ilvl="2" w:tplc="140A0005" w:tentative="1">
      <w:start w:val="1"/>
      <w:numFmt w:val="bullet"/>
      <w:lvlText w:val=""/>
      <w:lvlJc w:val="left"/>
      <w:pPr>
        <w:ind w:left="2252" w:hanging="360"/>
      </w:pPr>
      <w:rPr>
        <w:rFonts w:ascii="Wingdings" w:hAnsi="Wingdings" w:hint="default"/>
      </w:rPr>
    </w:lvl>
    <w:lvl w:ilvl="3" w:tplc="140A0001" w:tentative="1">
      <w:start w:val="1"/>
      <w:numFmt w:val="bullet"/>
      <w:lvlText w:val=""/>
      <w:lvlJc w:val="left"/>
      <w:pPr>
        <w:ind w:left="2972" w:hanging="360"/>
      </w:pPr>
      <w:rPr>
        <w:rFonts w:ascii="Symbol" w:hAnsi="Symbol" w:hint="default"/>
      </w:rPr>
    </w:lvl>
    <w:lvl w:ilvl="4" w:tplc="140A0003" w:tentative="1">
      <w:start w:val="1"/>
      <w:numFmt w:val="bullet"/>
      <w:lvlText w:val="o"/>
      <w:lvlJc w:val="left"/>
      <w:pPr>
        <w:ind w:left="3692" w:hanging="360"/>
      </w:pPr>
      <w:rPr>
        <w:rFonts w:ascii="Courier New" w:hAnsi="Courier New" w:cs="Courier New" w:hint="default"/>
      </w:rPr>
    </w:lvl>
    <w:lvl w:ilvl="5" w:tplc="140A0005" w:tentative="1">
      <w:start w:val="1"/>
      <w:numFmt w:val="bullet"/>
      <w:lvlText w:val=""/>
      <w:lvlJc w:val="left"/>
      <w:pPr>
        <w:ind w:left="4412" w:hanging="360"/>
      </w:pPr>
      <w:rPr>
        <w:rFonts w:ascii="Wingdings" w:hAnsi="Wingdings" w:hint="default"/>
      </w:rPr>
    </w:lvl>
    <w:lvl w:ilvl="6" w:tplc="140A0001" w:tentative="1">
      <w:start w:val="1"/>
      <w:numFmt w:val="bullet"/>
      <w:lvlText w:val=""/>
      <w:lvlJc w:val="left"/>
      <w:pPr>
        <w:ind w:left="5132" w:hanging="360"/>
      </w:pPr>
      <w:rPr>
        <w:rFonts w:ascii="Symbol" w:hAnsi="Symbol" w:hint="default"/>
      </w:rPr>
    </w:lvl>
    <w:lvl w:ilvl="7" w:tplc="140A0003" w:tentative="1">
      <w:start w:val="1"/>
      <w:numFmt w:val="bullet"/>
      <w:lvlText w:val="o"/>
      <w:lvlJc w:val="left"/>
      <w:pPr>
        <w:ind w:left="5852" w:hanging="360"/>
      </w:pPr>
      <w:rPr>
        <w:rFonts w:ascii="Courier New" w:hAnsi="Courier New" w:cs="Courier New" w:hint="default"/>
      </w:rPr>
    </w:lvl>
    <w:lvl w:ilvl="8" w:tplc="140A0005" w:tentative="1">
      <w:start w:val="1"/>
      <w:numFmt w:val="bullet"/>
      <w:lvlText w:val=""/>
      <w:lvlJc w:val="left"/>
      <w:pPr>
        <w:ind w:left="6572" w:hanging="360"/>
      </w:pPr>
      <w:rPr>
        <w:rFonts w:ascii="Wingdings" w:hAnsi="Wingdings" w:hint="default"/>
      </w:rPr>
    </w:lvl>
  </w:abstractNum>
  <w:abstractNum w:abstractNumId="27" w15:restartNumberingAfterBreak="0">
    <w:nsid w:val="3A2C7BF6"/>
    <w:multiLevelType w:val="multilevel"/>
    <w:tmpl w:val="C7664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726882"/>
    <w:multiLevelType w:val="multilevel"/>
    <w:tmpl w:val="0E9E2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5F5482"/>
    <w:multiLevelType w:val="multilevel"/>
    <w:tmpl w:val="5E44B428"/>
    <w:lvl w:ilvl="0">
      <w:start w:val="1"/>
      <w:numFmt w:val="bullet"/>
      <w:lvlText w:val=""/>
      <w:lvlJc w:val="left"/>
      <w:pPr>
        <w:tabs>
          <w:tab w:val="num" w:pos="786"/>
        </w:tabs>
        <w:ind w:left="786" w:hanging="360"/>
      </w:pPr>
      <w:rPr>
        <w:rFonts w:ascii="Symbol" w:hAnsi="Symbol" w:hint="default"/>
      </w:rPr>
    </w:lvl>
    <w:lvl w:ilvl="1">
      <w:start w:val="1"/>
      <w:numFmt w:val="bullet"/>
      <w:lvlText w:val="o"/>
      <w:lvlJc w:val="left"/>
      <w:pPr>
        <w:tabs>
          <w:tab w:val="num" w:pos="1506"/>
        </w:tabs>
        <w:ind w:left="1506" w:hanging="360"/>
      </w:pPr>
      <w:rPr>
        <w:rFonts w:ascii="Courier New" w:hAnsi="Courier New" w:hint="default"/>
        <w:sz w:val="20"/>
      </w:rPr>
    </w:lvl>
    <w:lvl w:ilvl="2">
      <w:numFmt w:val="bullet"/>
      <w:lvlText w:val="•"/>
      <w:lvlJc w:val="left"/>
      <w:pPr>
        <w:ind w:left="2574" w:hanging="708"/>
      </w:pPr>
      <w:rPr>
        <w:rFonts w:ascii="Tahoma" w:eastAsia="Times New Roman" w:hAnsi="Tahoma" w:cs="Tahoma" w:hint="default"/>
      </w:r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0" w15:restartNumberingAfterBreak="0">
    <w:nsid w:val="44095A2F"/>
    <w:multiLevelType w:val="hybridMultilevel"/>
    <w:tmpl w:val="17F4743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1" w15:restartNumberingAfterBreak="0">
    <w:nsid w:val="456902F5"/>
    <w:multiLevelType w:val="hybridMultilevel"/>
    <w:tmpl w:val="36EEB8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9D65536"/>
    <w:multiLevelType w:val="hybridMultilevel"/>
    <w:tmpl w:val="7B587E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1B26E09"/>
    <w:multiLevelType w:val="hybridMultilevel"/>
    <w:tmpl w:val="E104F82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71C0E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A5243A1"/>
    <w:multiLevelType w:val="hybridMultilevel"/>
    <w:tmpl w:val="65586612"/>
    <w:lvl w:ilvl="0" w:tplc="140A0001">
      <w:start w:val="1"/>
      <w:numFmt w:val="bullet"/>
      <w:lvlText w:val=""/>
      <w:lvlJc w:val="left"/>
      <w:pPr>
        <w:ind w:left="2586" w:hanging="360"/>
      </w:pPr>
      <w:rPr>
        <w:rFonts w:ascii="Symbol" w:hAnsi="Symbol" w:hint="default"/>
      </w:rPr>
    </w:lvl>
    <w:lvl w:ilvl="1" w:tplc="140A0003" w:tentative="1">
      <w:start w:val="1"/>
      <w:numFmt w:val="bullet"/>
      <w:lvlText w:val="o"/>
      <w:lvlJc w:val="left"/>
      <w:pPr>
        <w:ind w:left="3306" w:hanging="360"/>
      </w:pPr>
      <w:rPr>
        <w:rFonts w:ascii="Courier New" w:hAnsi="Courier New" w:cs="Courier New" w:hint="default"/>
      </w:rPr>
    </w:lvl>
    <w:lvl w:ilvl="2" w:tplc="140A0005" w:tentative="1">
      <w:start w:val="1"/>
      <w:numFmt w:val="bullet"/>
      <w:lvlText w:val=""/>
      <w:lvlJc w:val="left"/>
      <w:pPr>
        <w:ind w:left="4026" w:hanging="360"/>
      </w:pPr>
      <w:rPr>
        <w:rFonts w:ascii="Wingdings" w:hAnsi="Wingdings" w:hint="default"/>
      </w:rPr>
    </w:lvl>
    <w:lvl w:ilvl="3" w:tplc="140A0001" w:tentative="1">
      <w:start w:val="1"/>
      <w:numFmt w:val="bullet"/>
      <w:lvlText w:val=""/>
      <w:lvlJc w:val="left"/>
      <w:pPr>
        <w:ind w:left="4746" w:hanging="360"/>
      </w:pPr>
      <w:rPr>
        <w:rFonts w:ascii="Symbol" w:hAnsi="Symbol" w:hint="default"/>
      </w:rPr>
    </w:lvl>
    <w:lvl w:ilvl="4" w:tplc="140A0003" w:tentative="1">
      <w:start w:val="1"/>
      <w:numFmt w:val="bullet"/>
      <w:lvlText w:val="o"/>
      <w:lvlJc w:val="left"/>
      <w:pPr>
        <w:ind w:left="5466" w:hanging="360"/>
      </w:pPr>
      <w:rPr>
        <w:rFonts w:ascii="Courier New" w:hAnsi="Courier New" w:cs="Courier New" w:hint="default"/>
      </w:rPr>
    </w:lvl>
    <w:lvl w:ilvl="5" w:tplc="140A0005" w:tentative="1">
      <w:start w:val="1"/>
      <w:numFmt w:val="bullet"/>
      <w:lvlText w:val=""/>
      <w:lvlJc w:val="left"/>
      <w:pPr>
        <w:ind w:left="6186" w:hanging="360"/>
      </w:pPr>
      <w:rPr>
        <w:rFonts w:ascii="Wingdings" w:hAnsi="Wingdings" w:hint="default"/>
      </w:rPr>
    </w:lvl>
    <w:lvl w:ilvl="6" w:tplc="140A0001" w:tentative="1">
      <w:start w:val="1"/>
      <w:numFmt w:val="bullet"/>
      <w:lvlText w:val=""/>
      <w:lvlJc w:val="left"/>
      <w:pPr>
        <w:ind w:left="6906" w:hanging="360"/>
      </w:pPr>
      <w:rPr>
        <w:rFonts w:ascii="Symbol" w:hAnsi="Symbol" w:hint="default"/>
      </w:rPr>
    </w:lvl>
    <w:lvl w:ilvl="7" w:tplc="140A0003" w:tentative="1">
      <w:start w:val="1"/>
      <w:numFmt w:val="bullet"/>
      <w:lvlText w:val="o"/>
      <w:lvlJc w:val="left"/>
      <w:pPr>
        <w:ind w:left="7626" w:hanging="360"/>
      </w:pPr>
      <w:rPr>
        <w:rFonts w:ascii="Courier New" w:hAnsi="Courier New" w:cs="Courier New" w:hint="default"/>
      </w:rPr>
    </w:lvl>
    <w:lvl w:ilvl="8" w:tplc="140A0005" w:tentative="1">
      <w:start w:val="1"/>
      <w:numFmt w:val="bullet"/>
      <w:lvlText w:val=""/>
      <w:lvlJc w:val="left"/>
      <w:pPr>
        <w:ind w:left="8346" w:hanging="360"/>
      </w:pPr>
      <w:rPr>
        <w:rFonts w:ascii="Wingdings" w:hAnsi="Wingdings" w:hint="default"/>
      </w:rPr>
    </w:lvl>
  </w:abstractNum>
  <w:abstractNum w:abstractNumId="36" w15:restartNumberingAfterBreak="0">
    <w:nsid w:val="634C27DB"/>
    <w:multiLevelType w:val="multilevel"/>
    <w:tmpl w:val="164E2C4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2736" w:hanging="1656"/>
      </w:pPr>
      <w:rPr>
        <w:rFonts w:ascii="Tahoma" w:eastAsia="Times New Roman" w:hAnsi="Tahoma" w:cs="Tahom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552433"/>
    <w:multiLevelType w:val="hybridMultilevel"/>
    <w:tmpl w:val="86DE863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B49257F"/>
    <w:multiLevelType w:val="hybridMultilevel"/>
    <w:tmpl w:val="58D8A9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CAC5A22"/>
    <w:multiLevelType w:val="hybridMultilevel"/>
    <w:tmpl w:val="47001A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5EF2963"/>
    <w:multiLevelType w:val="multilevel"/>
    <w:tmpl w:val="F3686858"/>
    <w:lvl w:ilvl="0">
      <w:start w:val="6"/>
      <w:numFmt w:val="decimal"/>
      <w:lvlText w:val="%1."/>
      <w:lvlJc w:val="left"/>
      <w:pPr>
        <w:tabs>
          <w:tab w:val="num" w:pos="786"/>
        </w:tabs>
        <w:ind w:left="786" w:hanging="360"/>
      </w:p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1" w15:restartNumberingAfterBreak="0">
    <w:nsid w:val="76CE07A7"/>
    <w:multiLevelType w:val="hybridMultilevel"/>
    <w:tmpl w:val="9C4C9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946880774">
    <w:abstractNumId w:val="15"/>
  </w:num>
  <w:num w:numId="2" w16cid:durableId="740715897">
    <w:abstractNumId w:val="40"/>
  </w:num>
  <w:num w:numId="3" w16cid:durableId="856432276">
    <w:abstractNumId w:val="12"/>
  </w:num>
  <w:num w:numId="4" w16cid:durableId="1926300449">
    <w:abstractNumId w:val="29"/>
  </w:num>
  <w:num w:numId="5" w16cid:durableId="1734962893">
    <w:abstractNumId w:val="17"/>
  </w:num>
  <w:num w:numId="6" w16cid:durableId="10301886">
    <w:abstractNumId w:val="6"/>
  </w:num>
  <w:num w:numId="7" w16cid:durableId="1640108452">
    <w:abstractNumId w:val="39"/>
  </w:num>
  <w:num w:numId="8" w16cid:durableId="101843691">
    <w:abstractNumId w:val="41"/>
  </w:num>
  <w:num w:numId="9" w16cid:durableId="1542934539">
    <w:abstractNumId w:val="25"/>
  </w:num>
  <w:num w:numId="10" w16cid:durableId="1071003399">
    <w:abstractNumId w:val="36"/>
  </w:num>
  <w:num w:numId="11" w16cid:durableId="1655257696">
    <w:abstractNumId w:val="24"/>
  </w:num>
  <w:num w:numId="12" w16cid:durableId="2065176041">
    <w:abstractNumId w:val="26"/>
  </w:num>
  <w:num w:numId="13" w16cid:durableId="1596864866">
    <w:abstractNumId w:val="22"/>
  </w:num>
  <w:num w:numId="14" w16cid:durableId="2126077286">
    <w:abstractNumId w:val="3"/>
  </w:num>
  <w:num w:numId="15" w16cid:durableId="1103451105">
    <w:abstractNumId w:val="21"/>
  </w:num>
  <w:num w:numId="16" w16cid:durableId="1006446779">
    <w:abstractNumId w:val="30"/>
  </w:num>
  <w:num w:numId="17" w16cid:durableId="1875389082">
    <w:abstractNumId w:val="8"/>
  </w:num>
  <w:num w:numId="18" w16cid:durableId="889727389">
    <w:abstractNumId w:val="23"/>
  </w:num>
  <w:num w:numId="19" w16cid:durableId="1560046493">
    <w:abstractNumId w:val="28"/>
  </w:num>
  <w:num w:numId="20" w16cid:durableId="1477144202">
    <w:abstractNumId w:val="27"/>
  </w:num>
  <w:num w:numId="21" w16cid:durableId="1217934711">
    <w:abstractNumId w:val="34"/>
  </w:num>
  <w:num w:numId="22" w16cid:durableId="1586301285">
    <w:abstractNumId w:val="0"/>
  </w:num>
  <w:num w:numId="23" w16cid:durableId="359670383">
    <w:abstractNumId w:val="13"/>
  </w:num>
  <w:num w:numId="24" w16cid:durableId="1378621378">
    <w:abstractNumId w:val="16"/>
  </w:num>
  <w:num w:numId="25" w16cid:durableId="1611014499">
    <w:abstractNumId w:val="20"/>
  </w:num>
  <w:num w:numId="26" w16cid:durableId="1283654070">
    <w:abstractNumId w:val="33"/>
  </w:num>
  <w:num w:numId="27" w16cid:durableId="1334141442">
    <w:abstractNumId w:val="37"/>
  </w:num>
  <w:num w:numId="28" w16cid:durableId="1514109624">
    <w:abstractNumId w:val="9"/>
  </w:num>
  <w:num w:numId="29" w16cid:durableId="587427964">
    <w:abstractNumId w:val="5"/>
  </w:num>
  <w:num w:numId="30" w16cid:durableId="959608410">
    <w:abstractNumId w:val="19"/>
  </w:num>
  <w:num w:numId="31" w16cid:durableId="612638214">
    <w:abstractNumId w:val="1"/>
  </w:num>
  <w:num w:numId="32" w16cid:durableId="1077631236">
    <w:abstractNumId w:val="18"/>
  </w:num>
  <w:num w:numId="33" w16cid:durableId="885878107">
    <w:abstractNumId w:val="4"/>
  </w:num>
  <w:num w:numId="34" w16cid:durableId="796603419">
    <w:abstractNumId w:val="10"/>
  </w:num>
  <w:num w:numId="35" w16cid:durableId="897594686">
    <w:abstractNumId w:val="31"/>
  </w:num>
  <w:num w:numId="36" w16cid:durableId="814374603">
    <w:abstractNumId w:val="32"/>
  </w:num>
  <w:num w:numId="37" w16cid:durableId="410273264">
    <w:abstractNumId w:val="35"/>
  </w:num>
  <w:num w:numId="38" w16cid:durableId="481393634">
    <w:abstractNumId w:val="38"/>
  </w:num>
  <w:num w:numId="39" w16cid:durableId="1647004166">
    <w:abstractNumId w:val="7"/>
  </w:num>
  <w:num w:numId="40" w16cid:durableId="188612711">
    <w:abstractNumId w:val="11"/>
  </w:num>
  <w:num w:numId="41" w16cid:durableId="2131973018">
    <w:abstractNumId w:val="14"/>
  </w:num>
  <w:num w:numId="42" w16cid:durableId="40411370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63B"/>
    <w:rsid w:val="00003EB3"/>
    <w:rsid w:val="000058B1"/>
    <w:rsid w:val="00006F56"/>
    <w:rsid w:val="00012591"/>
    <w:rsid w:val="000130F3"/>
    <w:rsid w:val="00015B32"/>
    <w:rsid w:val="000177E1"/>
    <w:rsid w:val="00020912"/>
    <w:rsid w:val="000223E5"/>
    <w:rsid w:val="00022F76"/>
    <w:rsid w:val="000244F0"/>
    <w:rsid w:val="00026840"/>
    <w:rsid w:val="0002749A"/>
    <w:rsid w:val="00027F3E"/>
    <w:rsid w:val="000402B0"/>
    <w:rsid w:val="000410F4"/>
    <w:rsid w:val="00044401"/>
    <w:rsid w:val="0004571F"/>
    <w:rsid w:val="0004687C"/>
    <w:rsid w:val="00047B61"/>
    <w:rsid w:val="000502CB"/>
    <w:rsid w:val="00052A27"/>
    <w:rsid w:val="0005671F"/>
    <w:rsid w:val="0005717E"/>
    <w:rsid w:val="00062D77"/>
    <w:rsid w:val="00063DD9"/>
    <w:rsid w:val="0006564E"/>
    <w:rsid w:val="0006622B"/>
    <w:rsid w:val="00066663"/>
    <w:rsid w:val="000708B3"/>
    <w:rsid w:val="00083B5D"/>
    <w:rsid w:val="00092A68"/>
    <w:rsid w:val="000938CF"/>
    <w:rsid w:val="0009457F"/>
    <w:rsid w:val="00096AAB"/>
    <w:rsid w:val="00097EB0"/>
    <w:rsid w:val="000A3E66"/>
    <w:rsid w:val="000A416A"/>
    <w:rsid w:val="000A41E0"/>
    <w:rsid w:val="000A6765"/>
    <w:rsid w:val="000B09C1"/>
    <w:rsid w:val="000B2449"/>
    <w:rsid w:val="000B2DD1"/>
    <w:rsid w:val="000B4BCD"/>
    <w:rsid w:val="000B58DB"/>
    <w:rsid w:val="000B6FE4"/>
    <w:rsid w:val="000C1936"/>
    <w:rsid w:val="000C3A97"/>
    <w:rsid w:val="000C4B21"/>
    <w:rsid w:val="000C5009"/>
    <w:rsid w:val="000C5834"/>
    <w:rsid w:val="000D0F4C"/>
    <w:rsid w:val="000D1A4B"/>
    <w:rsid w:val="000D2B73"/>
    <w:rsid w:val="000E02BF"/>
    <w:rsid w:val="000E07D3"/>
    <w:rsid w:val="000E4490"/>
    <w:rsid w:val="000E4B9B"/>
    <w:rsid w:val="000E69E0"/>
    <w:rsid w:val="000E6C21"/>
    <w:rsid w:val="000F0322"/>
    <w:rsid w:val="000F09F0"/>
    <w:rsid w:val="000F1389"/>
    <w:rsid w:val="000F3F20"/>
    <w:rsid w:val="000F4102"/>
    <w:rsid w:val="000F5C6F"/>
    <w:rsid w:val="000F7497"/>
    <w:rsid w:val="00102BCD"/>
    <w:rsid w:val="00103493"/>
    <w:rsid w:val="00103A81"/>
    <w:rsid w:val="00106728"/>
    <w:rsid w:val="00106D96"/>
    <w:rsid w:val="00113B24"/>
    <w:rsid w:val="00114878"/>
    <w:rsid w:val="00114DAC"/>
    <w:rsid w:val="00122B3B"/>
    <w:rsid w:val="00122BF4"/>
    <w:rsid w:val="0012377E"/>
    <w:rsid w:val="001238EE"/>
    <w:rsid w:val="00123E77"/>
    <w:rsid w:val="00124AAD"/>
    <w:rsid w:val="00124D94"/>
    <w:rsid w:val="00124E2D"/>
    <w:rsid w:val="00124F04"/>
    <w:rsid w:val="00126FFB"/>
    <w:rsid w:val="001270A6"/>
    <w:rsid w:val="00127A5C"/>
    <w:rsid w:val="00127A62"/>
    <w:rsid w:val="00130AFA"/>
    <w:rsid w:val="00131C3B"/>
    <w:rsid w:val="00135208"/>
    <w:rsid w:val="0013587B"/>
    <w:rsid w:val="001358E8"/>
    <w:rsid w:val="001512A7"/>
    <w:rsid w:val="00152CC5"/>
    <w:rsid w:val="001536F0"/>
    <w:rsid w:val="00155DEB"/>
    <w:rsid w:val="00156A44"/>
    <w:rsid w:val="001618C7"/>
    <w:rsid w:val="001636E3"/>
    <w:rsid w:val="001650FC"/>
    <w:rsid w:val="00166D81"/>
    <w:rsid w:val="00172B00"/>
    <w:rsid w:val="001731E7"/>
    <w:rsid w:val="00173CC6"/>
    <w:rsid w:val="00174521"/>
    <w:rsid w:val="00176E70"/>
    <w:rsid w:val="0017756E"/>
    <w:rsid w:val="001825B9"/>
    <w:rsid w:val="00185884"/>
    <w:rsid w:val="00186DB2"/>
    <w:rsid w:val="00191DE9"/>
    <w:rsid w:val="00193349"/>
    <w:rsid w:val="00193F2D"/>
    <w:rsid w:val="00194731"/>
    <w:rsid w:val="00194A01"/>
    <w:rsid w:val="00194D9E"/>
    <w:rsid w:val="00195071"/>
    <w:rsid w:val="001A04B8"/>
    <w:rsid w:val="001A5CE2"/>
    <w:rsid w:val="001A691A"/>
    <w:rsid w:val="001A7B62"/>
    <w:rsid w:val="001B01F5"/>
    <w:rsid w:val="001B07C2"/>
    <w:rsid w:val="001B304E"/>
    <w:rsid w:val="001B3751"/>
    <w:rsid w:val="001B37C0"/>
    <w:rsid w:val="001C0B13"/>
    <w:rsid w:val="001C324D"/>
    <w:rsid w:val="001D1585"/>
    <w:rsid w:val="001D1D45"/>
    <w:rsid w:val="001D36D1"/>
    <w:rsid w:val="001D3F82"/>
    <w:rsid w:val="001D6870"/>
    <w:rsid w:val="001E041A"/>
    <w:rsid w:val="001E06E5"/>
    <w:rsid w:val="001E0DDC"/>
    <w:rsid w:val="001E130A"/>
    <w:rsid w:val="001E37FD"/>
    <w:rsid w:val="001E5D27"/>
    <w:rsid w:val="001E7BAE"/>
    <w:rsid w:val="001E7D79"/>
    <w:rsid w:val="001F003A"/>
    <w:rsid w:val="001F263C"/>
    <w:rsid w:val="001F34B5"/>
    <w:rsid w:val="001F56C6"/>
    <w:rsid w:val="001F6B20"/>
    <w:rsid w:val="002021DF"/>
    <w:rsid w:val="00202A21"/>
    <w:rsid w:val="002030BE"/>
    <w:rsid w:val="0020552F"/>
    <w:rsid w:val="002113E5"/>
    <w:rsid w:val="0021285B"/>
    <w:rsid w:val="00212E81"/>
    <w:rsid w:val="002144BE"/>
    <w:rsid w:val="00214BDB"/>
    <w:rsid w:val="00214F98"/>
    <w:rsid w:val="00220D59"/>
    <w:rsid w:val="002213DD"/>
    <w:rsid w:val="0022177A"/>
    <w:rsid w:val="002232EF"/>
    <w:rsid w:val="0022399D"/>
    <w:rsid w:val="00224540"/>
    <w:rsid w:val="0022593D"/>
    <w:rsid w:val="002300E3"/>
    <w:rsid w:val="0023399E"/>
    <w:rsid w:val="00233F4E"/>
    <w:rsid w:val="002347E0"/>
    <w:rsid w:val="002370A8"/>
    <w:rsid w:val="002435C9"/>
    <w:rsid w:val="002478C3"/>
    <w:rsid w:val="00250A9A"/>
    <w:rsid w:val="002518DA"/>
    <w:rsid w:val="00253A73"/>
    <w:rsid w:val="002558A4"/>
    <w:rsid w:val="00256E44"/>
    <w:rsid w:val="0025711A"/>
    <w:rsid w:val="00260127"/>
    <w:rsid w:val="00262180"/>
    <w:rsid w:val="002651F1"/>
    <w:rsid w:val="002656B4"/>
    <w:rsid w:val="00267F0D"/>
    <w:rsid w:val="00271F6B"/>
    <w:rsid w:val="002723FA"/>
    <w:rsid w:val="002738D6"/>
    <w:rsid w:val="00273B3C"/>
    <w:rsid w:val="00274A72"/>
    <w:rsid w:val="00274B3F"/>
    <w:rsid w:val="00276084"/>
    <w:rsid w:val="00276623"/>
    <w:rsid w:val="0028203B"/>
    <w:rsid w:val="00283CD3"/>
    <w:rsid w:val="00294D21"/>
    <w:rsid w:val="0029537A"/>
    <w:rsid w:val="0029703B"/>
    <w:rsid w:val="002A0BA0"/>
    <w:rsid w:val="002A246C"/>
    <w:rsid w:val="002A4243"/>
    <w:rsid w:val="002A43D8"/>
    <w:rsid w:val="002A7BB9"/>
    <w:rsid w:val="002A7FB4"/>
    <w:rsid w:val="002B0A6B"/>
    <w:rsid w:val="002B4245"/>
    <w:rsid w:val="002B481E"/>
    <w:rsid w:val="002C29D0"/>
    <w:rsid w:val="002C32C4"/>
    <w:rsid w:val="002C6414"/>
    <w:rsid w:val="002C793A"/>
    <w:rsid w:val="002D0BDF"/>
    <w:rsid w:val="002D3EE9"/>
    <w:rsid w:val="002D4ACE"/>
    <w:rsid w:val="002D6378"/>
    <w:rsid w:val="002D7CBB"/>
    <w:rsid w:val="002E1DB8"/>
    <w:rsid w:val="002E203D"/>
    <w:rsid w:val="002E741E"/>
    <w:rsid w:val="002E7A40"/>
    <w:rsid w:val="002F3466"/>
    <w:rsid w:val="002F477A"/>
    <w:rsid w:val="002F4B5F"/>
    <w:rsid w:val="002F702F"/>
    <w:rsid w:val="002F7D14"/>
    <w:rsid w:val="00305B44"/>
    <w:rsid w:val="00306C95"/>
    <w:rsid w:val="00311A79"/>
    <w:rsid w:val="0031218B"/>
    <w:rsid w:val="003144AA"/>
    <w:rsid w:val="00314516"/>
    <w:rsid w:val="00314A8D"/>
    <w:rsid w:val="00322FA9"/>
    <w:rsid w:val="00323028"/>
    <w:rsid w:val="003260DB"/>
    <w:rsid w:val="0032678E"/>
    <w:rsid w:val="00333648"/>
    <w:rsid w:val="00335169"/>
    <w:rsid w:val="00337DE6"/>
    <w:rsid w:val="0034030B"/>
    <w:rsid w:val="003403CF"/>
    <w:rsid w:val="00340F1E"/>
    <w:rsid w:val="003419E9"/>
    <w:rsid w:val="00342187"/>
    <w:rsid w:val="00342A21"/>
    <w:rsid w:val="00346D3C"/>
    <w:rsid w:val="003474B1"/>
    <w:rsid w:val="00350A50"/>
    <w:rsid w:val="00351E2C"/>
    <w:rsid w:val="00352446"/>
    <w:rsid w:val="00356EDF"/>
    <w:rsid w:val="00357ED9"/>
    <w:rsid w:val="003602BC"/>
    <w:rsid w:val="003635E8"/>
    <w:rsid w:val="00363744"/>
    <w:rsid w:val="003644F3"/>
    <w:rsid w:val="00366107"/>
    <w:rsid w:val="003701B6"/>
    <w:rsid w:val="00372178"/>
    <w:rsid w:val="003727F1"/>
    <w:rsid w:val="00372D43"/>
    <w:rsid w:val="00372E6B"/>
    <w:rsid w:val="00374917"/>
    <w:rsid w:val="00376117"/>
    <w:rsid w:val="003804F7"/>
    <w:rsid w:val="00380730"/>
    <w:rsid w:val="003830FE"/>
    <w:rsid w:val="0038402B"/>
    <w:rsid w:val="00384897"/>
    <w:rsid w:val="003855FD"/>
    <w:rsid w:val="003877DD"/>
    <w:rsid w:val="00391B38"/>
    <w:rsid w:val="00392FDF"/>
    <w:rsid w:val="003932D7"/>
    <w:rsid w:val="00395FA4"/>
    <w:rsid w:val="003A15FC"/>
    <w:rsid w:val="003A4F70"/>
    <w:rsid w:val="003A7641"/>
    <w:rsid w:val="003B0B0E"/>
    <w:rsid w:val="003B0B2E"/>
    <w:rsid w:val="003B0D46"/>
    <w:rsid w:val="003B0E97"/>
    <w:rsid w:val="003B648A"/>
    <w:rsid w:val="003B6CDB"/>
    <w:rsid w:val="003B7D20"/>
    <w:rsid w:val="003B7DB4"/>
    <w:rsid w:val="003B7F16"/>
    <w:rsid w:val="003C00BB"/>
    <w:rsid w:val="003C138A"/>
    <w:rsid w:val="003C4692"/>
    <w:rsid w:val="003C52F1"/>
    <w:rsid w:val="003C553E"/>
    <w:rsid w:val="003D034E"/>
    <w:rsid w:val="003D056B"/>
    <w:rsid w:val="003D11C9"/>
    <w:rsid w:val="003D1A43"/>
    <w:rsid w:val="003D2BC4"/>
    <w:rsid w:val="003D3168"/>
    <w:rsid w:val="003D4F23"/>
    <w:rsid w:val="003D5273"/>
    <w:rsid w:val="003D69EF"/>
    <w:rsid w:val="003E266F"/>
    <w:rsid w:val="003E5667"/>
    <w:rsid w:val="003E7E0C"/>
    <w:rsid w:val="003F1BC8"/>
    <w:rsid w:val="003F7053"/>
    <w:rsid w:val="003F7457"/>
    <w:rsid w:val="00400657"/>
    <w:rsid w:val="00400F3A"/>
    <w:rsid w:val="00401D4B"/>
    <w:rsid w:val="004027F0"/>
    <w:rsid w:val="004066B0"/>
    <w:rsid w:val="004079A6"/>
    <w:rsid w:val="004132FA"/>
    <w:rsid w:val="00413F68"/>
    <w:rsid w:val="00414F93"/>
    <w:rsid w:val="00421EF7"/>
    <w:rsid w:val="00422858"/>
    <w:rsid w:val="004251FE"/>
    <w:rsid w:val="00427F6B"/>
    <w:rsid w:val="00432A8A"/>
    <w:rsid w:val="00434650"/>
    <w:rsid w:val="00434ABC"/>
    <w:rsid w:val="00436E04"/>
    <w:rsid w:val="00442693"/>
    <w:rsid w:val="00443082"/>
    <w:rsid w:val="0044740C"/>
    <w:rsid w:val="0044793C"/>
    <w:rsid w:val="00450347"/>
    <w:rsid w:val="00450A23"/>
    <w:rsid w:val="00451149"/>
    <w:rsid w:val="00451714"/>
    <w:rsid w:val="00451E38"/>
    <w:rsid w:val="00452453"/>
    <w:rsid w:val="00452ABE"/>
    <w:rsid w:val="004534A9"/>
    <w:rsid w:val="00453E2F"/>
    <w:rsid w:val="004549BF"/>
    <w:rsid w:val="0045594E"/>
    <w:rsid w:val="0046043F"/>
    <w:rsid w:val="00460AFE"/>
    <w:rsid w:val="0046144C"/>
    <w:rsid w:val="0046254E"/>
    <w:rsid w:val="00462C13"/>
    <w:rsid w:val="0046414D"/>
    <w:rsid w:val="00464684"/>
    <w:rsid w:val="00472C1F"/>
    <w:rsid w:val="00472E22"/>
    <w:rsid w:val="00472F59"/>
    <w:rsid w:val="00473A01"/>
    <w:rsid w:val="00474426"/>
    <w:rsid w:val="0047561A"/>
    <w:rsid w:val="00476998"/>
    <w:rsid w:val="00476C21"/>
    <w:rsid w:val="00476F87"/>
    <w:rsid w:val="004827BF"/>
    <w:rsid w:val="004866E0"/>
    <w:rsid w:val="00486BB4"/>
    <w:rsid w:val="0048722F"/>
    <w:rsid w:val="00487BA8"/>
    <w:rsid w:val="00495712"/>
    <w:rsid w:val="004957C6"/>
    <w:rsid w:val="004A15EC"/>
    <w:rsid w:val="004A6037"/>
    <w:rsid w:val="004A6411"/>
    <w:rsid w:val="004A7870"/>
    <w:rsid w:val="004A7E29"/>
    <w:rsid w:val="004B4696"/>
    <w:rsid w:val="004B4F07"/>
    <w:rsid w:val="004B5463"/>
    <w:rsid w:val="004B6077"/>
    <w:rsid w:val="004C0619"/>
    <w:rsid w:val="004C0AA6"/>
    <w:rsid w:val="004C2877"/>
    <w:rsid w:val="004C2BF3"/>
    <w:rsid w:val="004C6F50"/>
    <w:rsid w:val="004D1B51"/>
    <w:rsid w:val="004D2E0E"/>
    <w:rsid w:val="004D4403"/>
    <w:rsid w:val="004D47AD"/>
    <w:rsid w:val="004D51B2"/>
    <w:rsid w:val="004D577A"/>
    <w:rsid w:val="004D66DC"/>
    <w:rsid w:val="004D6880"/>
    <w:rsid w:val="004D6980"/>
    <w:rsid w:val="004E0AD0"/>
    <w:rsid w:val="004E0DB1"/>
    <w:rsid w:val="004E1068"/>
    <w:rsid w:val="004E164A"/>
    <w:rsid w:val="004E3F7C"/>
    <w:rsid w:val="004E4C42"/>
    <w:rsid w:val="004E567A"/>
    <w:rsid w:val="004E58E6"/>
    <w:rsid w:val="004E5D51"/>
    <w:rsid w:val="004E5E3B"/>
    <w:rsid w:val="004F1510"/>
    <w:rsid w:val="004F1567"/>
    <w:rsid w:val="004F1D4C"/>
    <w:rsid w:val="004F21B8"/>
    <w:rsid w:val="004F23D8"/>
    <w:rsid w:val="004F7E6E"/>
    <w:rsid w:val="005040AE"/>
    <w:rsid w:val="00504C96"/>
    <w:rsid w:val="005055DB"/>
    <w:rsid w:val="005060BE"/>
    <w:rsid w:val="00506A46"/>
    <w:rsid w:val="005132CA"/>
    <w:rsid w:val="00513F97"/>
    <w:rsid w:val="00513FBB"/>
    <w:rsid w:val="00522D1B"/>
    <w:rsid w:val="00525019"/>
    <w:rsid w:val="0053067C"/>
    <w:rsid w:val="0053293B"/>
    <w:rsid w:val="00532AD5"/>
    <w:rsid w:val="005330EB"/>
    <w:rsid w:val="0053491F"/>
    <w:rsid w:val="0053546E"/>
    <w:rsid w:val="0053584D"/>
    <w:rsid w:val="005358E8"/>
    <w:rsid w:val="005373CA"/>
    <w:rsid w:val="0054163B"/>
    <w:rsid w:val="00542042"/>
    <w:rsid w:val="00543472"/>
    <w:rsid w:val="00544C22"/>
    <w:rsid w:val="00547853"/>
    <w:rsid w:val="0055135F"/>
    <w:rsid w:val="0055154F"/>
    <w:rsid w:val="00554C34"/>
    <w:rsid w:val="00555053"/>
    <w:rsid w:val="005602BD"/>
    <w:rsid w:val="00560D18"/>
    <w:rsid w:val="005617F5"/>
    <w:rsid w:val="0056372C"/>
    <w:rsid w:val="005638FE"/>
    <w:rsid w:val="005718FE"/>
    <w:rsid w:val="00573FEC"/>
    <w:rsid w:val="00575EC4"/>
    <w:rsid w:val="0058376C"/>
    <w:rsid w:val="00583C41"/>
    <w:rsid w:val="00583F8B"/>
    <w:rsid w:val="00584250"/>
    <w:rsid w:val="005852D5"/>
    <w:rsid w:val="00586670"/>
    <w:rsid w:val="00590B74"/>
    <w:rsid w:val="005936FA"/>
    <w:rsid w:val="00596D02"/>
    <w:rsid w:val="005A2512"/>
    <w:rsid w:val="005A6A59"/>
    <w:rsid w:val="005B2510"/>
    <w:rsid w:val="005B2B8A"/>
    <w:rsid w:val="005B39CF"/>
    <w:rsid w:val="005B4A8D"/>
    <w:rsid w:val="005B5933"/>
    <w:rsid w:val="005B7AB4"/>
    <w:rsid w:val="005C00E6"/>
    <w:rsid w:val="005C0431"/>
    <w:rsid w:val="005C2224"/>
    <w:rsid w:val="005C2554"/>
    <w:rsid w:val="005C510D"/>
    <w:rsid w:val="005D0BB1"/>
    <w:rsid w:val="005D1F4E"/>
    <w:rsid w:val="005D4AE6"/>
    <w:rsid w:val="005E0961"/>
    <w:rsid w:val="005E5A63"/>
    <w:rsid w:val="005F4D50"/>
    <w:rsid w:val="005F5FB0"/>
    <w:rsid w:val="005F6E78"/>
    <w:rsid w:val="005F7372"/>
    <w:rsid w:val="00600616"/>
    <w:rsid w:val="006007E5"/>
    <w:rsid w:val="006012B0"/>
    <w:rsid w:val="006023C4"/>
    <w:rsid w:val="00604309"/>
    <w:rsid w:val="00606E32"/>
    <w:rsid w:val="00607D48"/>
    <w:rsid w:val="00611725"/>
    <w:rsid w:val="00612BA2"/>
    <w:rsid w:val="00612CB7"/>
    <w:rsid w:val="00616801"/>
    <w:rsid w:val="006168BD"/>
    <w:rsid w:val="00616F78"/>
    <w:rsid w:val="006172B7"/>
    <w:rsid w:val="006213AC"/>
    <w:rsid w:val="00624FE7"/>
    <w:rsid w:val="00625177"/>
    <w:rsid w:val="00630E4E"/>
    <w:rsid w:val="0063254F"/>
    <w:rsid w:val="00634D30"/>
    <w:rsid w:val="006361BD"/>
    <w:rsid w:val="00636A8C"/>
    <w:rsid w:val="00642223"/>
    <w:rsid w:val="006427EE"/>
    <w:rsid w:val="00643D70"/>
    <w:rsid w:val="0064413F"/>
    <w:rsid w:val="0064487E"/>
    <w:rsid w:val="00645B41"/>
    <w:rsid w:val="00646A9E"/>
    <w:rsid w:val="00646BFC"/>
    <w:rsid w:val="006479F6"/>
    <w:rsid w:val="00647EE0"/>
    <w:rsid w:val="00650798"/>
    <w:rsid w:val="006547A8"/>
    <w:rsid w:val="00654847"/>
    <w:rsid w:val="00654B2D"/>
    <w:rsid w:val="00660A51"/>
    <w:rsid w:val="0066339A"/>
    <w:rsid w:val="0066352D"/>
    <w:rsid w:val="00663A97"/>
    <w:rsid w:val="00664DDC"/>
    <w:rsid w:val="00671123"/>
    <w:rsid w:val="00673038"/>
    <w:rsid w:val="006734AA"/>
    <w:rsid w:val="00673AE4"/>
    <w:rsid w:val="00676FD6"/>
    <w:rsid w:val="00680FDA"/>
    <w:rsid w:val="00681180"/>
    <w:rsid w:val="006833DF"/>
    <w:rsid w:val="0068509D"/>
    <w:rsid w:val="00685861"/>
    <w:rsid w:val="00690E93"/>
    <w:rsid w:val="00691126"/>
    <w:rsid w:val="00695439"/>
    <w:rsid w:val="00695CB1"/>
    <w:rsid w:val="006A0950"/>
    <w:rsid w:val="006A19AB"/>
    <w:rsid w:val="006A1A05"/>
    <w:rsid w:val="006A62D0"/>
    <w:rsid w:val="006A6717"/>
    <w:rsid w:val="006B14DD"/>
    <w:rsid w:val="006B3D6F"/>
    <w:rsid w:val="006B55CF"/>
    <w:rsid w:val="006C43C0"/>
    <w:rsid w:val="006C4460"/>
    <w:rsid w:val="006C54FA"/>
    <w:rsid w:val="006C7390"/>
    <w:rsid w:val="006D0862"/>
    <w:rsid w:val="006D0E1E"/>
    <w:rsid w:val="006D374D"/>
    <w:rsid w:val="006D3EDA"/>
    <w:rsid w:val="006D4FF3"/>
    <w:rsid w:val="006D53C9"/>
    <w:rsid w:val="006D58D0"/>
    <w:rsid w:val="006D598E"/>
    <w:rsid w:val="006E123C"/>
    <w:rsid w:val="006E5C10"/>
    <w:rsid w:val="006F029D"/>
    <w:rsid w:val="006F117B"/>
    <w:rsid w:val="006F2C9A"/>
    <w:rsid w:val="006F450E"/>
    <w:rsid w:val="006F4C06"/>
    <w:rsid w:val="006F6B57"/>
    <w:rsid w:val="006F7739"/>
    <w:rsid w:val="00702985"/>
    <w:rsid w:val="00711D08"/>
    <w:rsid w:val="00715BDE"/>
    <w:rsid w:val="00715C7E"/>
    <w:rsid w:val="00717498"/>
    <w:rsid w:val="00720BBF"/>
    <w:rsid w:val="00721BE5"/>
    <w:rsid w:val="0072222A"/>
    <w:rsid w:val="00724515"/>
    <w:rsid w:val="0073029B"/>
    <w:rsid w:val="007305A4"/>
    <w:rsid w:val="00732C52"/>
    <w:rsid w:val="0073514F"/>
    <w:rsid w:val="00737A8B"/>
    <w:rsid w:val="007419B2"/>
    <w:rsid w:val="0074402C"/>
    <w:rsid w:val="00744A4A"/>
    <w:rsid w:val="007450F3"/>
    <w:rsid w:val="00745D4B"/>
    <w:rsid w:val="00750BE0"/>
    <w:rsid w:val="0075476F"/>
    <w:rsid w:val="00757DFC"/>
    <w:rsid w:val="007601CB"/>
    <w:rsid w:val="007643F3"/>
    <w:rsid w:val="00765A7F"/>
    <w:rsid w:val="0076609B"/>
    <w:rsid w:val="0076658F"/>
    <w:rsid w:val="0076696B"/>
    <w:rsid w:val="007675E0"/>
    <w:rsid w:val="00767988"/>
    <w:rsid w:val="00772130"/>
    <w:rsid w:val="007721E1"/>
    <w:rsid w:val="0077552B"/>
    <w:rsid w:val="007755C3"/>
    <w:rsid w:val="00776D4F"/>
    <w:rsid w:val="00776F32"/>
    <w:rsid w:val="00781195"/>
    <w:rsid w:val="00783C39"/>
    <w:rsid w:val="00784E8F"/>
    <w:rsid w:val="00786B32"/>
    <w:rsid w:val="007903DC"/>
    <w:rsid w:val="00790D1F"/>
    <w:rsid w:val="00792BFD"/>
    <w:rsid w:val="00793522"/>
    <w:rsid w:val="00794727"/>
    <w:rsid w:val="00794CEE"/>
    <w:rsid w:val="007977DD"/>
    <w:rsid w:val="007978D1"/>
    <w:rsid w:val="00797A69"/>
    <w:rsid w:val="007A062C"/>
    <w:rsid w:val="007A471E"/>
    <w:rsid w:val="007B0342"/>
    <w:rsid w:val="007B1393"/>
    <w:rsid w:val="007B15E3"/>
    <w:rsid w:val="007B384B"/>
    <w:rsid w:val="007B50D4"/>
    <w:rsid w:val="007B6BA9"/>
    <w:rsid w:val="007B7113"/>
    <w:rsid w:val="007C4E62"/>
    <w:rsid w:val="007C69C6"/>
    <w:rsid w:val="007D133B"/>
    <w:rsid w:val="007D264E"/>
    <w:rsid w:val="007D272F"/>
    <w:rsid w:val="007D2C8A"/>
    <w:rsid w:val="007D30BA"/>
    <w:rsid w:val="007E2485"/>
    <w:rsid w:val="007E5211"/>
    <w:rsid w:val="007F1BA8"/>
    <w:rsid w:val="007F24DF"/>
    <w:rsid w:val="007F44A6"/>
    <w:rsid w:val="007F4A14"/>
    <w:rsid w:val="007F5D6D"/>
    <w:rsid w:val="007F6460"/>
    <w:rsid w:val="008005E7"/>
    <w:rsid w:val="00802364"/>
    <w:rsid w:val="00803A5A"/>
    <w:rsid w:val="00803B45"/>
    <w:rsid w:val="00803CEC"/>
    <w:rsid w:val="0080736B"/>
    <w:rsid w:val="00813B58"/>
    <w:rsid w:val="00814633"/>
    <w:rsid w:val="00814AAE"/>
    <w:rsid w:val="0082151A"/>
    <w:rsid w:val="00826818"/>
    <w:rsid w:val="0082685E"/>
    <w:rsid w:val="00827D86"/>
    <w:rsid w:val="00830931"/>
    <w:rsid w:val="008333E3"/>
    <w:rsid w:val="0083579A"/>
    <w:rsid w:val="00835A80"/>
    <w:rsid w:val="00836A7F"/>
    <w:rsid w:val="00836BC0"/>
    <w:rsid w:val="0084181C"/>
    <w:rsid w:val="00841B0B"/>
    <w:rsid w:val="00841D17"/>
    <w:rsid w:val="00851B4A"/>
    <w:rsid w:val="00851B6B"/>
    <w:rsid w:val="00851C73"/>
    <w:rsid w:val="00853988"/>
    <w:rsid w:val="008559F8"/>
    <w:rsid w:val="008564BA"/>
    <w:rsid w:val="00857EBA"/>
    <w:rsid w:val="00864EF9"/>
    <w:rsid w:val="008653A0"/>
    <w:rsid w:val="008655FD"/>
    <w:rsid w:val="00865E66"/>
    <w:rsid w:val="0086687E"/>
    <w:rsid w:val="00867880"/>
    <w:rsid w:val="008678C0"/>
    <w:rsid w:val="008715ED"/>
    <w:rsid w:val="00872138"/>
    <w:rsid w:val="008723EF"/>
    <w:rsid w:val="00874F5E"/>
    <w:rsid w:val="00874F84"/>
    <w:rsid w:val="00875110"/>
    <w:rsid w:val="00875C2E"/>
    <w:rsid w:val="008770DA"/>
    <w:rsid w:val="00881C3E"/>
    <w:rsid w:val="00883829"/>
    <w:rsid w:val="00883E33"/>
    <w:rsid w:val="008867DB"/>
    <w:rsid w:val="00886B9D"/>
    <w:rsid w:val="00886D49"/>
    <w:rsid w:val="008927D6"/>
    <w:rsid w:val="008A007B"/>
    <w:rsid w:val="008A04D8"/>
    <w:rsid w:val="008A0B35"/>
    <w:rsid w:val="008A1B19"/>
    <w:rsid w:val="008A31D0"/>
    <w:rsid w:val="008A35AB"/>
    <w:rsid w:val="008A4371"/>
    <w:rsid w:val="008A6BC1"/>
    <w:rsid w:val="008A772F"/>
    <w:rsid w:val="008B050B"/>
    <w:rsid w:val="008B11C0"/>
    <w:rsid w:val="008B574A"/>
    <w:rsid w:val="008B5E3D"/>
    <w:rsid w:val="008B63F0"/>
    <w:rsid w:val="008B7F50"/>
    <w:rsid w:val="008C16C1"/>
    <w:rsid w:val="008C1CD7"/>
    <w:rsid w:val="008C2347"/>
    <w:rsid w:val="008C5AD0"/>
    <w:rsid w:val="008D2D7B"/>
    <w:rsid w:val="008D7739"/>
    <w:rsid w:val="008D79F6"/>
    <w:rsid w:val="008E0349"/>
    <w:rsid w:val="008E334D"/>
    <w:rsid w:val="008E3F81"/>
    <w:rsid w:val="008E6EC2"/>
    <w:rsid w:val="008F3096"/>
    <w:rsid w:val="008F5697"/>
    <w:rsid w:val="008F68A0"/>
    <w:rsid w:val="008F7722"/>
    <w:rsid w:val="00903362"/>
    <w:rsid w:val="00905017"/>
    <w:rsid w:val="00905218"/>
    <w:rsid w:val="0090532D"/>
    <w:rsid w:val="00912F17"/>
    <w:rsid w:val="009143F0"/>
    <w:rsid w:val="00914A1E"/>
    <w:rsid w:val="009163CD"/>
    <w:rsid w:val="00917F83"/>
    <w:rsid w:val="00920B58"/>
    <w:rsid w:val="00920F4D"/>
    <w:rsid w:val="00923EA9"/>
    <w:rsid w:val="0092402B"/>
    <w:rsid w:val="00924EBD"/>
    <w:rsid w:val="0092605D"/>
    <w:rsid w:val="0092611B"/>
    <w:rsid w:val="009275B8"/>
    <w:rsid w:val="00930526"/>
    <w:rsid w:val="00933577"/>
    <w:rsid w:val="0093546B"/>
    <w:rsid w:val="0093593D"/>
    <w:rsid w:val="00935E04"/>
    <w:rsid w:val="0094173A"/>
    <w:rsid w:val="00941ACA"/>
    <w:rsid w:val="0094597A"/>
    <w:rsid w:val="00945B23"/>
    <w:rsid w:val="00952479"/>
    <w:rsid w:val="009534B0"/>
    <w:rsid w:val="009544A2"/>
    <w:rsid w:val="0095624F"/>
    <w:rsid w:val="009619EA"/>
    <w:rsid w:val="009654DC"/>
    <w:rsid w:val="00970012"/>
    <w:rsid w:val="009708A0"/>
    <w:rsid w:val="00971302"/>
    <w:rsid w:val="00971E21"/>
    <w:rsid w:val="00974EC7"/>
    <w:rsid w:val="00976708"/>
    <w:rsid w:val="009770CB"/>
    <w:rsid w:val="0097775E"/>
    <w:rsid w:val="00980427"/>
    <w:rsid w:val="0098207F"/>
    <w:rsid w:val="0098210E"/>
    <w:rsid w:val="0098318B"/>
    <w:rsid w:val="00984491"/>
    <w:rsid w:val="00986121"/>
    <w:rsid w:val="009870CD"/>
    <w:rsid w:val="00990B6C"/>
    <w:rsid w:val="00990DF4"/>
    <w:rsid w:val="009927BF"/>
    <w:rsid w:val="00993A15"/>
    <w:rsid w:val="009978A5"/>
    <w:rsid w:val="009A130E"/>
    <w:rsid w:val="009A1764"/>
    <w:rsid w:val="009A189C"/>
    <w:rsid w:val="009A31D9"/>
    <w:rsid w:val="009A36A0"/>
    <w:rsid w:val="009B1A34"/>
    <w:rsid w:val="009B1F2A"/>
    <w:rsid w:val="009B22BA"/>
    <w:rsid w:val="009B2F5C"/>
    <w:rsid w:val="009B3045"/>
    <w:rsid w:val="009B4462"/>
    <w:rsid w:val="009B4510"/>
    <w:rsid w:val="009B45B2"/>
    <w:rsid w:val="009B4FDE"/>
    <w:rsid w:val="009B5692"/>
    <w:rsid w:val="009B6D1A"/>
    <w:rsid w:val="009C0886"/>
    <w:rsid w:val="009C217A"/>
    <w:rsid w:val="009C2D2D"/>
    <w:rsid w:val="009C34A0"/>
    <w:rsid w:val="009C3E56"/>
    <w:rsid w:val="009C5C00"/>
    <w:rsid w:val="009D007C"/>
    <w:rsid w:val="009D07F0"/>
    <w:rsid w:val="009D13FB"/>
    <w:rsid w:val="009E14F9"/>
    <w:rsid w:val="009E775C"/>
    <w:rsid w:val="009F22A1"/>
    <w:rsid w:val="009F39CD"/>
    <w:rsid w:val="009F3FE6"/>
    <w:rsid w:val="009F450B"/>
    <w:rsid w:val="00A02756"/>
    <w:rsid w:val="00A05E47"/>
    <w:rsid w:val="00A06ACA"/>
    <w:rsid w:val="00A1180F"/>
    <w:rsid w:val="00A126CF"/>
    <w:rsid w:val="00A12C11"/>
    <w:rsid w:val="00A1306D"/>
    <w:rsid w:val="00A1587C"/>
    <w:rsid w:val="00A17FD4"/>
    <w:rsid w:val="00A2228A"/>
    <w:rsid w:val="00A224A8"/>
    <w:rsid w:val="00A2479E"/>
    <w:rsid w:val="00A2603D"/>
    <w:rsid w:val="00A26CDC"/>
    <w:rsid w:val="00A3024D"/>
    <w:rsid w:val="00A30692"/>
    <w:rsid w:val="00A309F1"/>
    <w:rsid w:val="00A3327A"/>
    <w:rsid w:val="00A348AC"/>
    <w:rsid w:val="00A36518"/>
    <w:rsid w:val="00A44F54"/>
    <w:rsid w:val="00A45081"/>
    <w:rsid w:val="00A45B7E"/>
    <w:rsid w:val="00A46191"/>
    <w:rsid w:val="00A4767C"/>
    <w:rsid w:val="00A5699E"/>
    <w:rsid w:val="00A600F0"/>
    <w:rsid w:val="00A61441"/>
    <w:rsid w:val="00A6216B"/>
    <w:rsid w:val="00A6480E"/>
    <w:rsid w:val="00A65023"/>
    <w:rsid w:val="00A65BF5"/>
    <w:rsid w:val="00A6681A"/>
    <w:rsid w:val="00A66A40"/>
    <w:rsid w:val="00A673BC"/>
    <w:rsid w:val="00A67EF3"/>
    <w:rsid w:val="00A70924"/>
    <w:rsid w:val="00A745DF"/>
    <w:rsid w:val="00A76742"/>
    <w:rsid w:val="00A76820"/>
    <w:rsid w:val="00A8109C"/>
    <w:rsid w:val="00A81C75"/>
    <w:rsid w:val="00A82A86"/>
    <w:rsid w:val="00A837E5"/>
    <w:rsid w:val="00A84883"/>
    <w:rsid w:val="00A86675"/>
    <w:rsid w:val="00A9003F"/>
    <w:rsid w:val="00A9021A"/>
    <w:rsid w:val="00A917F9"/>
    <w:rsid w:val="00A91CE8"/>
    <w:rsid w:val="00A93381"/>
    <w:rsid w:val="00AA01B2"/>
    <w:rsid w:val="00AA01E5"/>
    <w:rsid w:val="00AA2493"/>
    <w:rsid w:val="00AA43A9"/>
    <w:rsid w:val="00AA51FF"/>
    <w:rsid w:val="00AA5CB2"/>
    <w:rsid w:val="00AA6088"/>
    <w:rsid w:val="00AA743A"/>
    <w:rsid w:val="00AB40A3"/>
    <w:rsid w:val="00AB4229"/>
    <w:rsid w:val="00AB4851"/>
    <w:rsid w:val="00AB5AC0"/>
    <w:rsid w:val="00AB65A1"/>
    <w:rsid w:val="00AB6C59"/>
    <w:rsid w:val="00AB72A3"/>
    <w:rsid w:val="00AC072E"/>
    <w:rsid w:val="00AC25E6"/>
    <w:rsid w:val="00AC5E70"/>
    <w:rsid w:val="00AD34F7"/>
    <w:rsid w:val="00AD3569"/>
    <w:rsid w:val="00AD431C"/>
    <w:rsid w:val="00AD654F"/>
    <w:rsid w:val="00AD666D"/>
    <w:rsid w:val="00AD7518"/>
    <w:rsid w:val="00AD7C1F"/>
    <w:rsid w:val="00AD7E31"/>
    <w:rsid w:val="00AE02C5"/>
    <w:rsid w:val="00AE04FD"/>
    <w:rsid w:val="00AE3121"/>
    <w:rsid w:val="00AE469A"/>
    <w:rsid w:val="00AE485A"/>
    <w:rsid w:val="00AE4C0E"/>
    <w:rsid w:val="00AE52E4"/>
    <w:rsid w:val="00AE5F29"/>
    <w:rsid w:val="00AE6378"/>
    <w:rsid w:val="00AF3CC4"/>
    <w:rsid w:val="00AF425C"/>
    <w:rsid w:val="00AF4DDE"/>
    <w:rsid w:val="00AF5325"/>
    <w:rsid w:val="00B034F0"/>
    <w:rsid w:val="00B0609D"/>
    <w:rsid w:val="00B06BD8"/>
    <w:rsid w:val="00B07013"/>
    <w:rsid w:val="00B11403"/>
    <w:rsid w:val="00B13888"/>
    <w:rsid w:val="00B14FCD"/>
    <w:rsid w:val="00B21612"/>
    <w:rsid w:val="00B21B70"/>
    <w:rsid w:val="00B2459E"/>
    <w:rsid w:val="00B25A46"/>
    <w:rsid w:val="00B264B1"/>
    <w:rsid w:val="00B32C54"/>
    <w:rsid w:val="00B331CA"/>
    <w:rsid w:val="00B34280"/>
    <w:rsid w:val="00B36021"/>
    <w:rsid w:val="00B4191F"/>
    <w:rsid w:val="00B44593"/>
    <w:rsid w:val="00B47D34"/>
    <w:rsid w:val="00B50ACF"/>
    <w:rsid w:val="00B5130E"/>
    <w:rsid w:val="00B51570"/>
    <w:rsid w:val="00B516A3"/>
    <w:rsid w:val="00B541F4"/>
    <w:rsid w:val="00B545EF"/>
    <w:rsid w:val="00B54E1D"/>
    <w:rsid w:val="00B561BC"/>
    <w:rsid w:val="00B56E1B"/>
    <w:rsid w:val="00B57505"/>
    <w:rsid w:val="00B57599"/>
    <w:rsid w:val="00B627B0"/>
    <w:rsid w:val="00B63D81"/>
    <w:rsid w:val="00B64682"/>
    <w:rsid w:val="00B65E14"/>
    <w:rsid w:val="00B66387"/>
    <w:rsid w:val="00B667A2"/>
    <w:rsid w:val="00B705B0"/>
    <w:rsid w:val="00B708E0"/>
    <w:rsid w:val="00B72033"/>
    <w:rsid w:val="00B72821"/>
    <w:rsid w:val="00B72E9C"/>
    <w:rsid w:val="00B7484E"/>
    <w:rsid w:val="00B75C1C"/>
    <w:rsid w:val="00B80134"/>
    <w:rsid w:val="00B80972"/>
    <w:rsid w:val="00B836EB"/>
    <w:rsid w:val="00B94A2E"/>
    <w:rsid w:val="00B95951"/>
    <w:rsid w:val="00B960FF"/>
    <w:rsid w:val="00BA1257"/>
    <w:rsid w:val="00BA12F4"/>
    <w:rsid w:val="00BA3018"/>
    <w:rsid w:val="00BA30EB"/>
    <w:rsid w:val="00BB1DDD"/>
    <w:rsid w:val="00BB4CCD"/>
    <w:rsid w:val="00BB4E8F"/>
    <w:rsid w:val="00BB5436"/>
    <w:rsid w:val="00BB67E6"/>
    <w:rsid w:val="00BC42F7"/>
    <w:rsid w:val="00BC5A92"/>
    <w:rsid w:val="00BC7114"/>
    <w:rsid w:val="00BC7F77"/>
    <w:rsid w:val="00BD0448"/>
    <w:rsid w:val="00BD065A"/>
    <w:rsid w:val="00BD0B93"/>
    <w:rsid w:val="00BD3C09"/>
    <w:rsid w:val="00BD41D3"/>
    <w:rsid w:val="00BD5F12"/>
    <w:rsid w:val="00BD6EB6"/>
    <w:rsid w:val="00BE03D2"/>
    <w:rsid w:val="00BE157C"/>
    <w:rsid w:val="00BE2AA2"/>
    <w:rsid w:val="00BE34CF"/>
    <w:rsid w:val="00BE4BDB"/>
    <w:rsid w:val="00BE4DCB"/>
    <w:rsid w:val="00BF259F"/>
    <w:rsid w:val="00BF5BB0"/>
    <w:rsid w:val="00BF62AA"/>
    <w:rsid w:val="00BF6B6A"/>
    <w:rsid w:val="00BF6ED3"/>
    <w:rsid w:val="00BF7899"/>
    <w:rsid w:val="00C002CC"/>
    <w:rsid w:val="00C01479"/>
    <w:rsid w:val="00C02032"/>
    <w:rsid w:val="00C025A8"/>
    <w:rsid w:val="00C02FA1"/>
    <w:rsid w:val="00C0558C"/>
    <w:rsid w:val="00C14E33"/>
    <w:rsid w:val="00C16E81"/>
    <w:rsid w:val="00C20427"/>
    <w:rsid w:val="00C242D0"/>
    <w:rsid w:val="00C25474"/>
    <w:rsid w:val="00C25920"/>
    <w:rsid w:val="00C36E21"/>
    <w:rsid w:val="00C36F72"/>
    <w:rsid w:val="00C37462"/>
    <w:rsid w:val="00C42167"/>
    <w:rsid w:val="00C42B1C"/>
    <w:rsid w:val="00C4355D"/>
    <w:rsid w:val="00C47E5A"/>
    <w:rsid w:val="00C47EEC"/>
    <w:rsid w:val="00C51B53"/>
    <w:rsid w:val="00C51DC2"/>
    <w:rsid w:val="00C52032"/>
    <w:rsid w:val="00C54DA8"/>
    <w:rsid w:val="00C55239"/>
    <w:rsid w:val="00C55BCB"/>
    <w:rsid w:val="00C56505"/>
    <w:rsid w:val="00C63DC9"/>
    <w:rsid w:val="00C66012"/>
    <w:rsid w:val="00C66DCF"/>
    <w:rsid w:val="00C70B04"/>
    <w:rsid w:val="00C77C91"/>
    <w:rsid w:val="00C8225E"/>
    <w:rsid w:val="00C84562"/>
    <w:rsid w:val="00C84E84"/>
    <w:rsid w:val="00C858F7"/>
    <w:rsid w:val="00C867A4"/>
    <w:rsid w:val="00C9479C"/>
    <w:rsid w:val="00CA2B11"/>
    <w:rsid w:val="00CA4715"/>
    <w:rsid w:val="00CA5CC4"/>
    <w:rsid w:val="00CA710A"/>
    <w:rsid w:val="00CB07A9"/>
    <w:rsid w:val="00CB3D3D"/>
    <w:rsid w:val="00CB4CB8"/>
    <w:rsid w:val="00CB5C8B"/>
    <w:rsid w:val="00CB7D36"/>
    <w:rsid w:val="00CC07BE"/>
    <w:rsid w:val="00CC08CB"/>
    <w:rsid w:val="00CC2AAB"/>
    <w:rsid w:val="00CC4640"/>
    <w:rsid w:val="00CC52B9"/>
    <w:rsid w:val="00CC5AF9"/>
    <w:rsid w:val="00CD00FF"/>
    <w:rsid w:val="00CD3E35"/>
    <w:rsid w:val="00CE1024"/>
    <w:rsid w:val="00CE3F60"/>
    <w:rsid w:val="00CE48DA"/>
    <w:rsid w:val="00CE63FC"/>
    <w:rsid w:val="00CE69DD"/>
    <w:rsid w:val="00CE71EE"/>
    <w:rsid w:val="00CE7D5E"/>
    <w:rsid w:val="00CF0033"/>
    <w:rsid w:val="00CF0B7E"/>
    <w:rsid w:val="00CF1C71"/>
    <w:rsid w:val="00CF235A"/>
    <w:rsid w:val="00CF3F37"/>
    <w:rsid w:val="00CF4324"/>
    <w:rsid w:val="00CF591E"/>
    <w:rsid w:val="00CF6E46"/>
    <w:rsid w:val="00D1211C"/>
    <w:rsid w:val="00D13A96"/>
    <w:rsid w:val="00D1519F"/>
    <w:rsid w:val="00D20650"/>
    <w:rsid w:val="00D221D1"/>
    <w:rsid w:val="00D2352F"/>
    <w:rsid w:val="00D24208"/>
    <w:rsid w:val="00D306C6"/>
    <w:rsid w:val="00D324B4"/>
    <w:rsid w:val="00D33A72"/>
    <w:rsid w:val="00D352A3"/>
    <w:rsid w:val="00D45A2C"/>
    <w:rsid w:val="00D470F9"/>
    <w:rsid w:val="00D50077"/>
    <w:rsid w:val="00D504A3"/>
    <w:rsid w:val="00D513C2"/>
    <w:rsid w:val="00D536DF"/>
    <w:rsid w:val="00D54935"/>
    <w:rsid w:val="00D54C2F"/>
    <w:rsid w:val="00D5611F"/>
    <w:rsid w:val="00D62C1F"/>
    <w:rsid w:val="00D62C7B"/>
    <w:rsid w:val="00D64D2C"/>
    <w:rsid w:val="00D650BD"/>
    <w:rsid w:val="00D65702"/>
    <w:rsid w:val="00D65C01"/>
    <w:rsid w:val="00D66969"/>
    <w:rsid w:val="00D70BE4"/>
    <w:rsid w:val="00D71857"/>
    <w:rsid w:val="00D73768"/>
    <w:rsid w:val="00D76DFD"/>
    <w:rsid w:val="00D77779"/>
    <w:rsid w:val="00D8412B"/>
    <w:rsid w:val="00D8432A"/>
    <w:rsid w:val="00D854CF"/>
    <w:rsid w:val="00D8718B"/>
    <w:rsid w:val="00D90E3C"/>
    <w:rsid w:val="00D9285D"/>
    <w:rsid w:val="00D935FA"/>
    <w:rsid w:val="00D95BAD"/>
    <w:rsid w:val="00DA1484"/>
    <w:rsid w:val="00DB1C59"/>
    <w:rsid w:val="00DB3557"/>
    <w:rsid w:val="00DB5AA6"/>
    <w:rsid w:val="00DC3BE6"/>
    <w:rsid w:val="00DC442F"/>
    <w:rsid w:val="00DC44D9"/>
    <w:rsid w:val="00DD05B5"/>
    <w:rsid w:val="00DD14B4"/>
    <w:rsid w:val="00DD30AA"/>
    <w:rsid w:val="00DD325F"/>
    <w:rsid w:val="00DD3C0B"/>
    <w:rsid w:val="00DD4ECD"/>
    <w:rsid w:val="00DD53E8"/>
    <w:rsid w:val="00DE0177"/>
    <w:rsid w:val="00DE390B"/>
    <w:rsid w:val="00DE4BE0"/>
    <w:rsid w:val="00DE4C02"/>
    <w:rsid w:val="00DE7B85"/>
    <w:rsid w:val="00DF0CC9"/>
    <w:rsid w:val="00DF1D0D"/>
    <w:rsid w:val="00DF28A1"/>
    <w:rsid w:val="00DF363C"/>
    <w:rsid w:val="00E00EDD"/>
    <w:rsid w:val="00E06537"/>
    <w:rsid w:val="00E07DE4"/>
    <w:rsid w:val="00E11D94"/>
    <w:rsid w:val="00E12A12"/>
    <w:rsid w:val="00E12FEA"/>
    <w:rsid w:val="00E22FB1"/>
    <w:rsid w:val="00E22FBA"/>
    <w:rsid w:val="00E260A2"/>
    <w:rsid w:val="00E26B19"/>
    <w:rsid w:val="00E30BF9"/>
    <w:rsid w:val="00E3148A"/>
    <w:rsid w:val="00E32DFB"/>
    <w:rsid w:val="00E338E0"/>
    <w:rsid w:val="00E374E9"/>
    <w:rsid w:val="00E37616"/>
    <w:rsid w:val="00E41540"/>
    <w:rsid w:val="00E44017"/>
    <w:rsid w:val="00E445B1"/>
    <w:rsid w:val="00E4508E"/>
    <w:rsid w:val="00E5321C"/>
    <w:rsid w:val="00E561C0"/>
    <w:rsid w:val="00E57372"/>
    <w:rsid w:val="00E6038A"/>
    <w:rsid w:val="00E67EEE"/>
    <w:rsid w:val="00E7148E"/>
    <w:rsid w:val="00E747DF"/>
    <w:rsid w:val="00E74FC3"/>
    <w:rsid w:val="00E75633"/>
    <w:rsid w:val="00E75CA5"/>
    <w:rsid w:val="00E7609B"/>
    <w:rsid w:val="00E76BE5"/>
    <w:rsid w:val="00E76CC4"/>
    <w:rsid w:val="00E80EE7"/>
    <w:rsid w:val="00E8109C"/>
    <w:rsid w:val="00E81889"/>
    <w:rsid w:val="00E8436C"/>
    <w:rsid w:val="00E86735"/>
    <w:rsid w:val="00E87F27"/>
    <w:rsid w:val="00E91F9D"/>
    <w:rsid w:val="00E9273E"/>
    <w:rsid w:val="00E93CD2"/>
    <w:rsid w:val="00E96EC9"/>
    <w:rsid w:val="00E9712A"/>
    <w:rsid w:val="00E9717C"/>
    <w:rsid w:val="00E97C6D"/>
    <w:rsid w:val="00EA1F13"/>
    <w:rsid w:val="00EA56AA"/>
    <w:rsid w:val="00EA585D"/>
    <w:rsid w:val="00EB120C"/>
    <w:rsid w:val="00EB2096"/>
    <w:rsid w:val="00EB279F"/>
    <w:rsid w:val="00EB48D8"/>
    <w:rsid w:val="00EB5457"/>
    <w:rsid w:val="00EB6643"/>
    <w:rsid w:val="00EB6C63"/>
    <w:rsid w:val="00EB7572"/>
    <w:rsid w:val="00EB76A2"/>
    <w:rsid w:val="00EC4339"/>
    <w:rsid w:val="00ED0340"/>
    <w:rsid w:val="00ED0431"/>
    <w:rsid w:val="00ED6AE3"/>
    <w:rsid w:val="00ED6E5D"/>
    <w:rsid w:val="00EE094B"/>
    <w:rsid w:val="00EE1DC2"/>
    <w:rsid w:val="00EE2A38"/>
    <w:rsid w:val="00EE3425"/>
    <w:rsid w:val="00EE3514"/>
    <w:rsid w:val="00EE4664"/>
    <w:rsid w:val="00EE7053"/>
    <w:rsid w:val="00EF0B0F"/>
    <w:rsid w:val="00EF7131"/>
    <w:rsid w:val="00F0014E"/>
    <w:rsid w:val="00F028FB"/>
    <w:rsid w:val="00F038FB"/>
    <w:rsid w:val="00F058A6"/>
    <w:rsid w:val="00F06A2B"/>
    <w:rsid w:val="00F1056E"/>
    <w:rsid w:val="00F11721"/>
    <w:rsid w:val="00F122BC"/>
    <w:rsid w:val="00F14DBB"/>
    <w:rsid w:val="00F20D64"/>
    <w:rsid w:val="00F21356"/>
    <w:rsid w:val="00F2166C"/>
    <w:rsid w:val="00F2391D"/>
    <w:rsid w:val="00F23C22"/>
    <w:rsid w:val="00F24752"/>
    <w:rsid w:val="00F2519F"/>
    <w:rsid w:val="00F265D6"/>
    <w:rsid w:val="00F27242"/>
    <w:rsid w:val="00F30C6A"/>
    <w:rsid w:val="00F32094"/>
    <w:rsid w:val="00F35587"/>
    <w:rsid w:val="00F3633A"/>
    <w:rsid w:val="00F36FC4"/>
    <w:rsid w:val="00F4030C"/>
    <w:rsid w:val="00F4591F"/>
    <w:rsid w:val="00F50531"/>
    <w:rsid w:val="00F513D4"/>
    <w:rsid w:val="00F52CEA"/>
    <w:rsid w:val="00F54037"/>
    <w:rsid w:val="00F54B6C"/>
    <w:rsid w:val="00F54DFF"/>
    <w:rsid w:val="00F61515"/>
    <w:rsid w:val="00F63E1E"/>
    <w:rsid w:val="00F64297"/>
    <w:rsid w:val="00F662D8"/>
    <w:rsid w:val="00F66915"/>
    <w:rsid w:val="00F70531"/>
    <w:rsid w:val="00F73E7B"/>
    <w:rsid w:val="00F75D95"/>
    <w:rsid w:val="00F75E16"/>
    <w:rsid w:val="00F76C98"/>
    <w:rsid w:val="00F77265"/>
    <w:rsid w:val="00F77492"/>
    <w:rsid w:val="00F810A3"/>
    <w:rsid w:val="00F858A1"/>
    <w:rsid w:val="00F862BD"/>
    <w:rsid w:val="00F90B9C"/>
    <w:rsid w:val="00F91E8F"/>
    <w:rsid w:val="00F95650"/>
    <w:rsid w:val="00FA1270"/>
    <w:rsid w:val="00FA16D9"/>
    <w:rsid w:val="00FA1C75"/>
    <w:rsid w:val="00FA28E2"/>
    <w:rsid w:val="00FA6144"/>
    <w:rsid w:val="00FA6B09"/>
    <w:rsid w:val="00FB0F3D"/>
    <w:rsid w:val="00FB525F"/>
    <w:rsid w:val="00FB723F"/>
    <w:rsid w:val="00FC1944"/>
    <w:rsid w:val="00FC1B95"/>
    <w:rsid w:val="00FC219F"/>
    <w:rsid w:val="00FC2A56"/>
    <w:rsid w:val="00FC2D7C"/>
    <w:rsid w:val="00FD1F58"/>
    <w:rsid w:val="00FD24E2"/>
    <w:rsid w:val="00FD4222"/>
    <w:rsid w:val="00FE2A41"/>
    <w:rsid w:val="00FE44F1"/>
    <w:rsid w:val="00FE585D"/>
    <w:rsid w:val="00FE6725"/>
    <w:rsid w:val="00FE6ADC"/>
    <w:rsid w:val="00FE77EE"/>
    <w:rsid w:val="00FF0B68"/>
    <w:rsid w:val="00FF0BAD"/>
    <w:rsid w:val="00FF12F1"/>
    <w:rsid w:val="00FF19F2"/>
    <w:rsid w:val="00FF25CF"/>
    <w:rsid w:val="00FF2CC6"/>
    <w:rsid w:val="00FF410A"/>
    <w:rsid w:val="00FF4C40"/>
    <w:rsid w:val="00FF55F3"/>
    <w:rsid w:val="6BED4CA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E6383"/>
  <w15:chartTrackingRefBased/>
  <w15:docId w15:val="{3C3D760C-0441-4E0F-A429-A05B8EE35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6E5"/>
    <w:rPr>
      <w:rFonts w:ascii="Tahoma" w:hAnsi="Tahoma"/>
      <w:sz w:val="16"/>
    </w:rPr>
  </w:style>
  <w:style w:type="paragraph" w:styleId="Ttulo1">
    <w:name w:val="heading 1"/>
    <w:basedOn w:val="Normal"/>
    <w:next w:val="Normal"/>
    <w:link w:val="Ttulo1Car"/>
    <w:uiPriority w:val="9"/>
    <w:qFormat/>
    <w:rsid w:val="00106D96"/>
    <w:pPr>
      <w:keepNext/>
      <w:keepLines/>
      <w:spacing w:before="240" w:after="120"/>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106D96"/>
    <w:pPr>
      <w:keepNext/>
      <w:keepLines/>
      <w:spacing w:before="40" w:after="0"/>
      <w:jc w:val="both"/>
      <w:outlineLvl w:val="1"/>
    </w:pPr>
    <w:rPr>
      <w:rFonts w:eastAsiaTheme="majorEastAsia" w:cstheme="majorBidi"/>
      <w:b/>
      <w:sz w:val="24"/>
      <w:szCs w:val="26"/>
    </w:rPr>
  </w:style>
  <w:style w:type="paragraph" w:styleId="Ttulo3">
    <w:name w:val="heading 3"/>
    <w:basedOn w:val="Normal"/>
    <w:next w:val="Normal"/>
    <w:link w:val="Ttulo3Car"/>
    <w:uiPriority w:val="9"/>
    <w:semiHidden/>
    <w:unhideWhenUsed/>
    <w:qFormat/>
    <w:rsid w:val="001E06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66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3,Lista vistosa - Énfasis 11,Párrafo de lista Car Car Car,Párrafo de lista1,titulo 5"/>
    <w:basedOn w:val="Normal"/>
    <w:link w:val="PrrafodelistaCar"/>
    <w:uiPriority w:val="1"/>
    <w:qFormat/>
    <w:rsid w:val="00544C22"/>
    <w:pPr>
      <w:ind w:left="720"/>
      <w:contextualSpacing/>
    </w:pPr>
  </w:style>
  <w:style w:type="character" w:customStyle="1" w:styleId="PrrafodelistaCar">
    <w:name w:val="Párrafo de lista Car"/>
    <w:aliases w:val="3 Car,Lista vistosa - Énfasis 11 Car,Párrafo de lista Car Car Car Car,Párrafo de lista1 Car,titulo 5 Car"/>
    <w:basedOn w:val="Fuentedeprrafopredeter"/>
    <w:link w:val="Prrafodelista"/>
    <w:uiPriority w:val="1"/>
    <w:rsid w:val="003A4F70"/>
  </w:style>
  <w:style w:type="paragraph" w:styleId="Encabezado">
    <w:name w:val="header"/>
    <w:basedOn w:val="Normal"/>
    <w:link w:val="EncabezadoCar"/>
    <w:uiPriority w:val="99"/>
    <w:unhideWhenUsed/>
    <w:rsid w:val="00BD5F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BD5F12"/>
  </w:style>
  <w:style w:type="paragraph" w:styleId="Piedepgina">
    <w:name w:val="footer"/>
    <w:basedOn w:val="Normal"/>
    <w:link w:val="PiedepginaCar"/>
    <w:uiPriority w:val="99"/>
    <w:unhideWhenUsed/>
    <w:rsid w:val="00BD5F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F12"/>
  </w:style>
  <w:style w:type="character" w:styleId="Hipervnculo">
    <w:name w:val="Hyperlink"/>
    <w:basedOn w:val="Fuentedeprrafopredeter"/>
    <w:uiPriority w:val="99"/>
    <w:unhideWhenUsed/>
    <w:rsid w:val="00156A44"/>
    <w:rPr>
      <w:color w:val="0563C1" w:themeColor="hyperlink"/>
      <w:u w:val="single"/>
    </w:rPr>
  </w:style>
  <w:style w:type="paragraph" w:styleId="Sinespaciado">
    <w:name w:val="No Spacing"/>
    <w:uiPriority w:val="1"/>
    <w:qFormat/>
    <w:rsid w:val="00156A44"/>
    <w:pPr>
      <w:spacing w:after="0" w:line="240" w:lineRule="auto"/>
    </w:pPr>
    <w:rPr>
      <w:rFonts w:ascii="Calibri" w:eastAsia="MS Mincho" w:hAnsi="Calibri" w:cs="Times New Roman"/>
      <w:lang w:eastAsia="es-CR"/>
    </w:rPr>
  </w:style>
  <w:style w:type="paragraph" w:customStyle="1" w:styleId="Direccininterior">
    <w:name w:val="Dirección interior"/>
    <w:basedOn w:val="Normal"/>
    <w:rsid w:val="00E76CC4"/>
    <w:pPr>
      <w:spacing w:after="0" w:line="220" w:lineRule="atLeast"/>
      <w:jc w:val="both"/>
    </w:pPr>
    <w:rPr>
      <w:rFonts w:ascii="Arial" w:eastAsia="Times New Roman" w:hAnsi="Arial" w:cs="Times New Roman"/>
      <w:spacing w:val="-5"/>
      <w:sz w:val="20"/>
      <w:szCs w:val="20"/>
    </w:rPr>
  </w:style>
  <w:style w:type="paragraph" w:styleId="NormalWeb">
    <w:name w:val="Normal (Web)"/>
    <w:basedOn w:val="Normal"/>
    <w:uiPriority w:val="99"/>
    <w:unhideWhenUsed/>
    <w:rsid w:val="004C0AA6"/>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Textocomentario">
    <w:name w:val="annotation text"/>
    <w:basedOn w:val="Normal"/>
    <w:link w:val="TextocomentarioCar"/>
    <w:uiPriority w:val="99"/>
    <w:semiHidden/>
    <w:unhideWhenUsed/>
    <w:rsid w:val="008A35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35AB"/>
    <w:rPr>
      <w:sz w:val="20"/>
      <w:szCs w:val="20"/>
    </w:rPr>
  </w:style>
  <w:style w:type="character" w:styleId="Refdenotaalpie">
    <w:name w:val="footnote reference"/>
    <w:aliases w:val="FC,ftref,referencia nota al pie,Ref,de nota al pie,16 Point,Superscript 6 Point,Superscript 6 Point + 11 pt,Notas al pie,titulo 2"/>
    <w:basedOn w:val="Fuentedeprrafopredeter"/>
    <w:uiPriority w:val="99"/>
    <w:unhideWhenUsed/>
    <w:qFormat/>
    <w:rsid w:val="008A35AB"/>
    <w:rPr>
      <w:rFonts w:ascii="Arial Narrow" w:hAnsi="Arial Narrow"/>
      <w:sz w:val="16"/>
      <w:vertAlign w:val="superscript"/>
    </w:rPr>
  </w:style>
  <w:style w:type="table" w:styleId="Tablaclsica3">
    <w:name w:val="Table Classic 3"/>
    <w:aliases w:val="Tabla MIDEPLAN"/>
    <w:basedOn w:val="Tablanormal"/>
    <w:rsid w:val="008A35AB"/>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character" w:styleId="Mencinsinresolver">
    <w:name w:val="Unresolved Mention"/>
    <w:basedOn w:val="Fuentedeprrafopredeter"/>
    <w:uiPriority w:val="99"/>
    <w:semiHidden/>
    <w:unhideWhenUsed/>
    <w:rsid w:val="006A6717"/>
    <w:rPr>
      <w:color w:val="605E5C"/>
      <w:shd w:val="clear" w:color="auto" w:fill="E1DFDD"/>
    </w:rPr>
  </w:style>
  <w:style w:type="paragraph" w:customStyle="1" w:styleId="Default">
    <w:name w:val="Default"/>
    <w:qFormat/>
    <w:rsid w:val="00D1519F"/>
    <w:pPr>
      <w:autoSpaceDE w:val="0"/>
      <w:autoSpaceDN w:val="0"/>
      <w:adjustRightInd w:val="0"/>
      <w:spacing w:after="0" w:line="240" w:lineRule="auto"/>
    </w:pPr>
    <w:rPr>
      <w:rFonts w:ascii="AAAAAB+ArialNarrow" w:hAnsi="AAAAAB+ArialNarrow" w:cs="AAAAAB+ArialNarrow"/>
      <w:color w:val="000000"/>
      <w:sz w:val="24"/>
      <w:szCs w:val="24"/>
    </w:rPr>
  </w:style>
  <w:style w:type="paragraph" w:styleId="Textonotaalfinal">
    <w:name w:val="endnote text"/>
    <w:basedOn w:val="Normal"/>
    <w:link w:val="TextonotaalfinalCar"/>
    <w:uiPriority w:val="99"/>
    <w:semiHidden/>
    <w:unhideWhenUsed/>
    <w:rsid w:val="00113B2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13B24"/>
    <w:rPr>
      <w:sz w:val="20"/>
      <w:szCs w:val="20"/>
    </w:rPr>
  </w:style>
  <w:style w:type="character" w:styleId="Refdenotaalfinal">
    <w:name w:val="endnote reference"/>
    <w:basedOn w:val="Fuentedeprrafopredeter"/>
    <w:uiPriority w:val="99"/>
    <w:semiHidden/>
    <w:unhideWhenUsed/>
    <w:rsid w:val="00113B24"/>
    <w:rPr>
      <w:vertAlign w:val="superscript"/>
    </w:rPr>
  </w:style>
  <w:style w:type="paragraph" w:styleId="Textonotapie">
    <w:name w:val="footnote text"/>
    <w:basedOn w:val="Normal"/>
    <w:link w:val="TextonotapieCar"/>
    <w:uiPriority w:val="99"/>
    <w:semiHidden/>
    <w:unhideWhenUsed/>
    <w:rsid w:val="00113B2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3B24"/>
    <w:rPr>
      <w:sz w:val="20"/>
      <w:szCs w:val="20"/>
    </w:rPr>
  </w:style>
  <w:style w:type="paragraph" w:customStyle="1" w:styleId="Grficos">
    <w:name w:val="Gráficos"/>
    <w:basedOn w:val="Normal"/>
    <w:link w:val="GrficosCar"/>
    <w:qFormat/>
    <w:rsid w:val="00FC1944"/>
    <w:pPr>
      <w:shd w:val="clear" w:color="auto" w:fill="FFFFFF"/>
      <w:spacing w:after="0" w:line="240" w:lineRule="auto"/>
      <w:jc w:val="both"/>
    </w:pPr>
    <w:rPr>
      <w:rFonts w:eastAsiaTheme="minorEastAsia" w:cs="Tahoma"/>
      <w:b/>
      <w:lang w:val="es-ES" w:eastAsia="es-CR"/>
    </w:rPr>
  </w:style>
  <w:style w:type="character" w:customStyle="1" w:styleId="GrficosCar">
    <w:name w:val="Gráficos Car"/>
    <w:basedOn w:val="Fuentedeprrafopredeter"/>
    <w:link w:val="Grficos"/>
    <w:rsid w:val="00FC1944"/>
    <w:rPr>
      <w:rFonts w:ascii="Tahoma" w:eastAsiaTheme="minorEastAsia" w:hAnsi="Tahoma" w:cs="Tahoma"/>
      <w:b/>
      <w:shd w:val="clear" w:color="auto" w:fill="FFFFFF"/>
      <w:lang w:val="es-ES" w:eastAsia="es-CR"/>
    </w:rPr>
  </w:style>
  <w:style w:type="character" w:styleId="Hipervnculovisitado">
    <w:name w:val="FollowedHyperlink"/>
    <w:basedOn w:val="Fuentedeprrafopredeter"/>
    <w:uiPriority w:val="99"/>
    <w:semiHidden/>
    <w:unhideWhenUsed/>
    <w:rsid w:val="006D374D"/>
    <w:rPr>
      <w:color w:val="954F72" w:themeColor="followedHyperlink"/>
      <w:u w:val="single"/>
    </w:rPr>
  </w:style>
  <w:style w:type="paragraph" w:customStyle="1" w:styleId="msonormal0">
    <w:name w:val="msonormal"/>
    <w:basedOn w:val="Normal"/>
    <w:rsid w:val="006D374D"/>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Refdecomentario">
    <w:name w:val="annotation reference"/>
    <w:uiPriority w:val="99"/>
    <w:semiHidden/>
    <w:unhideWhenUsed/>
    <w:rsid w:val="003727F1"/>
    <w:rPr>
      <w:sz w:val="16"/>
      <w:szCs w:val="16"/>
    </w:rPr>
  </w:style>
  <w:style w:type="table" w:customStyle="1" w:styleId="TablaMIDEPLAN1">
    <w:name w:val="Tabla MIDEPLAN1"/>
    <w:basedOn w:val="Tablanormal"/>
    <w:next w:val="Tablaclsica3"/>
    <w:rsid w:val="0055154F"/>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character" w:customStyle="1" w:styleId="Ttulo1Car">
    <w:name w:val="Título 1 Car"/>
    <w:basedOn w:val="Fuentedeprrafopredeter"/>
    <w:link w:val="Ttulo1"/>
    <w:uiPriority w:val="9"/>
    <w:rsid w:val="00106D96"/>
    <w:rPr>
      <w:rFonts w:ascii="Tahoma" w:eastAsiaTheme="majorEastAsia" w:hAnsi="Tahoma" w:cstheme="majorBidi"/>
      <w:b/>
      <w:sz w:val="28"/>
      <w:szCs w:val="32"/>
    </w:rPr>
  </w:style>
  <w:style w:type="character" w:customStyle="1" w:styleId="Ttulo2Car">
    <w:name w:val="Título 2 Car"/>
    <w:basedOn w:val="Fuentedeprrafopredeter"/>
    <w:link w:val="Ttulo2"/>
    <w:uiPriority w:val="9"/>
    <w:rsid w:val="00106D96"/>
    <w:rPr>
      <w:rFonts w:ascii="Tahoma" w:eastAsiaTheme="majorEastAsia" w:hAnsi="Tahoma" w:cstheme="majorBidi"/>
      <w:b/>
      <w:sz w:val="24"/>
      <w:szCs w:val="26"/>
    </w:rPr>
  </w:style>
  <w:style w:type="paragraph" w:styleId="TtuloTDC">
    <w:name w:val="TOC Heading"/>
    <w:basedOn w:val="Ttulo1"/>
    <w:next w:val="Normal"/>
    <w:uiPriority w:val="39"/>
    <w:unhideWhenUsed/>
    <w:qFormat/>
    <w:rsid w:val="00106D96"/>
    <w:pPr>
      <w:spacing w:after="0"/>
      <w:outlineLvl w:val="9"/>
    </w:pPr>
    <w:rPr>
      <w:rFonts w:asciiTheme="majorHAnsi" w:hAnsiTheme="majorHAnsi"/>
      <w:b w:val="0"/>
      <w:color w:val="2F5496" w:themeColor="accent1" w:themeShade="BF"/>
      <w:sz w:val="32"/>
      <w:lang w:eastAsia="es-CR"/>
    </w:rPr>
  </w:style>
  <w:style w:type="paragraph" w:styleId="TDC1">
    <w:name w:val="toc 1"/>
    <w:basedOn w:val="Normal"/>
    <w:next w:val="Normal"/>
    <w:autoRedefine/>
    <w:uiPriority w:val="39"/>
    <w:unhideWhenUsed/>
    <w:rsid w:val="00106D96"/>
    <w:pPr>
      <w:spacing w:after="100"/>
    </w:pPr>
  </w:style>
  <w:style w:type="paragraph" w:styleId="TDC2">
    <w:name w:val="toc 2"/>
    <w:basedOn w:val="Normal"/>
    <w:next w:val="Normal"/>
    <w:autoRedefine/>
    <w:uiPriority w:val="39"/>
    <w:unhideWhenUsed/>
    <w:rsid w:val="00106D96"/>
    <w:pPr>
      <w:spacing w:after="100"/>
      <w:ind w:left="220"/>
    </w:pPr>
  </w:style>
  <w:style w:type="paragraph" w:styleId="Asuntodelcomentario">
    <w:name w:val="annotation subject"/>
    <w:basedOn w:val="Textocomentario"/>
    <w:next w:val="Textocomentario"/>
    <w:link w:val="AsuntodelcomentarioCar"/>
    <w:uiPriority w:val="99"/>
    <w:semiHidden/>
    <w:unhideWhenUsed/>
    <w:rsid w:val="002A4243"/>
    <w:rPr>
      <w:b/>
      <w:bCs/>
    </w:rPr>
  </w:style>
  <w:style w:type="character" w:customStyle="1" w:styleId="AsuntodelcomentarioCar">
    <w:name w:val="Asunto del comentario Car"/>
    <w:basedOn w:val="TextocomentarioCar"/>
    <w:link w:val="Asuntodelcomentario"/>
    <w:uiPriority w:val="99"/>
    <w:semiHidden/>
    <w:rsid w:val="002A4243"/>
    <w:rPr>
      <w:b/>
      <w:bCs/>
      <w:sz w:val="20"/>
      <w:szCs w:val="20"/>
    </w:rPr>
  </w:style>
  <w:style w:type="character" w:styleId="Textoennegrita">
    <w:name w:val="Strong"/>
    <w:basedOn w:val="Fuentedeprrafopredeter"/>
    <w:uiPriority w:val="22"/>
    <w:qFormat/>
    <w:rsid w:val="00B80134"/>
    <w:rPr>
      <w:b/>
      <w:bCs/>
    </w:rPr>
  </w:style>
  <w:style w:type="character" w:customStyle="1" w:styleId="Ttulo3Car">
    <w:name w:val="Título 3 Car"/>
    <w:basedOn w:val="Fuentedeprrafopredeter"/>
    <w:link w:val="Ttulo3"/>
    <w:uiPriority w:val="9"/>
    <w:semiHidden/>
    <w:rsid w:val="001E06E5"/>
    <w:rPr>
      <w:rFonts w:asciiTheme="majorHAnsi" w:eastAsiaTheme="majorEastAsia" w:hAnsiTheme="majorHAnsi" w:cstheme="majorBidi"/>
      <w:color w:val="1F3763" w:themeColor="accent1" w:themeShade="7F"/>
      <w:sz w:val="24"/>
      <w:szCs w:val="24"/>
    </w:rPr>
  </w:style>
  <w:style w:type="table" w:customStyle="1" w:styleId="TablaMIDEPLAN11">
    <w:name w:val="Tabla MIDEPLAN11"/>
    <w:basedOn w:val="Tablanormal"/>
    <w:rsid w:val="001E06E5"/>
    <w:pPr>
      <w:suppressAutoHyphens/>
      <w:spacing w:after="0" w:line="240" w:lineRule="auto"/>
      <w:jc w:val="both"/>
    </w:pPr>
    <w:rPr>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MIDEPLAN111">
    <w:name w:val="Tabla MIDEPLAN111"/>
    <w:basedOn w:val="Tablanormal"/>
    <w:rsid w:val="003855FD"/>
    <w:pPr>
      <w:suppressAutoHyphens/>
      <w:spacing w:after="0" w:line="240" w:lineRule="auto"/>
      <w:jc w:val="both"/>
    </w:pPr>
    <w:rPr>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rPr>
    </w:tblStylePr>
    <w:tblStylePr w:type="band1Horz">
      <w:tblPr/>
      <w:tcPr>
        <w:shd w:val="clear" w:color="C0C0C0" w:fill="F2F2F2"/>
      </w:tcPr>
    </w:tblStylePr>
    <w:tblStylePr w:type="band2Horz">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344">
      <w:bodyDiv w:val="1"/>
      <w:marLeft w:val="0"/>
      <w:marRight w:val="0"/>
      <w:marTop w:val="0"/>
      <w:marBottom w:val="0"/>
      <w:divBdr>
        <w:top w:val="none" w:sz="0" w:space="0" w:color="auto"/>
        <w:left w:val="none" w:sz="0" w:space="0" w:color="auto"/>
        <w:bottom w:val="none" w:sz="0" w:space="0" w:color="auto"/>
        <w:right w:val="none" w:sz="0" w:space="0" w:color="auto"/>
      </w:divBdr>
    </w:div>
    <w:div w:id="28914332">
      <w:bodyDiv w:val="1"/>
      <w:marLeft w:val="0"/>
      <w:marRight w:val="0"/>
      <w:marTop w:val="0"/>
      <w:marBottom w:val="0"/>
      <w:divBdr>
        <w:top w:val="none" w:sz="0" w:space="0" w:color="auto"/>
        <w:left w:val="none" w:sz="0" w:space="0" w:color="auto"/>
        <w:bottom w:val="none" w:sz="0" w:space="0" w:color="auto"/>
        <w:right w:val="none" w:sz="0" w:space="0" w:color="auto"/>
      </w:divBdr>
    </w:div>
    <w:div w:id="42297294">
      <w:bodyDiv w:val="1"/>
      <w:marLeft w:val="0"/>
      <w:marRight w:val="0"/>
      <w:marTop w:val="0"/>
      <w:marBottom w:val="0"/>
      <w:divBdr>
        <w:top w:val="none" w:sz="0" w:space="0" w:color="auto"/>
        <w:left w:val="none" w:sz="0" w:space="0" w:color="auto"/>
        <w:bottom w:val="none" w:sz="0" w:space="0" w:color="auto"/>
        <w:right w:val="none" w:sz="0" w:space="0" w:color="auto"/>
      </w:divBdr>
    </w:div>
    <w:div w:id="58208507">
      <w:bodyDiv w:val="1"/>
      <w:marLeft w:val="0"/>
      <w:marRight w:val="0"/>
      <w:marTop w:val="0"/>
      <w:marBottom w:val="0"/>
      <w:divBdr>
        <w:top w:val="none" w:sz="0" w:space="0" w:color="auto"/>
        <w:left w:val="none" w:sz="0" w:space="0" w:color="auto"/>
        <w:bottom w:val="none" w:sz="0" w:space="0" w:color="auto"/>
        <w:right w:val="none" w:sz="0" w:space="0" w:color="auto"/>
      </w:divBdr>
    </w:div>
    <w:div w:id="58864064">
      <w:bodyDiv w:val="1"/>
      <w:marLeft w:val="0"/>
      <w:marRight w:val="0"/>
      <w:marTop w:val="0"/>
      <w:marBottom w:val="0"/>
      <w:divBdr>
        <w:top w:val="none" w:sz="0" w:space="0" w:color="auto"/>
        <w:left w:val="none" w:sz="0" w:space="0" w:color="auto"/>
        <w:bottom w:val="none" w:sz="0" w:space="0" w:color="auto"/>
        <w:right w:val="none" w:sz="0" w:space="0" w:color="auto"/>
      </w:divBdr>
    </w:div>
    <w:div w:id="62946742">
      <w:bodyDiv w:val="1"/>
      <w:marLeft w:val="0"/>
      <w:marRight w:val="0"/>
      <w:marTop w:val="0"/>
      <w:marBottom w:val="0"/>
      <w:divBdr>
        <w:top w:val="none" w:sz="0" w:space="0" w:color="auto"/>
        <w:left w:val="none" w:sz="0" w:space="0" w:color="auto"/>
        <w:bottom w:val="none" w:sz="0" w:space="0" w:color="auto"/>
        <w:right w:val="none" w:sz="0" w:space="0" w:color="auto"/>
      </w:divBdr>
    </w:div>
    <w:div w:id="85662671">
      <w:bodyDiv w:val="1"/>
      <w:marLeft w:val="0"/>
      <w:marRight w:val="0"/>
      <w:marTop w:val="0"/>
      <w:marBottom w:val="0"/>
      <w:divBdr>
        <w:top w:val="none" w:sz="0" w:space="0" w:color="auto"/>
        <w:left w:val="none" w:sz="0" w:space="0" w:color="auto"/>
        <w:bottom w:val="none" w:sz="0" w:space="0" w:color="auto"/>
        <w:right w:val="none" w:sz="0" w:space="0" w:color="auto"/>
      </w:divBdr>
    </w:div>
    <w:div w:id="120848930">
      <w:bodyDiv w:val="1"/>
      <w:marLeft w:val="0"/>
      <w:marRight w:val="0"/>
      <w:marTop w:val="0"/>
      <w:marBottom w:val="0"/>
      <w:divBdr>
        <w:top w:val="none" w:sz="0" w:space="0" w:color="auto"/>
        <w:left w:val="none" w:sz="0" w:space="0" w:color="auto"/>
        <w:bottom w:val="none" w:sz="0" w:space="0" w:color="auto"/>
        <w:right w:val="none" w:sz="0" w:space="0" w:color="auto"/>
      </w:divBdr>
    </w:div>
    <w:div w:id="131750884">
      <w:bodyDiv w:val="1"/>
      <w:marLeft w:val="0"/>
      <w:marRight w:val="0"/>
      <w:marTop w:val="0"/>
      <w:marBottom w:val="0"/>
      <w:divBdr>
        <w:top w:val="none" w:sz="0" w:space="0" w:color="auto"/>
        <w:left w:val="none" w:sz="0" w:space="0" w:color="auto"/>
        <w:bottom w:val="none" w:sz="0" w:space="0" w:color="auto"/>
        <w:right w:val="none" w:sz="0" w:space="0" w:color="auto"/>
      </w:divBdr>
    </w:div>
    <w:div w:id="163663996">
      <w:bodyDiv w:val="1"/>
      <w:marLeft w:val="0"/>
      <w:marRight w:val="0"/>
      <w:marTop w:val="0"/>
      <w:marBottom w:val="0"/>
      <w:divBdr>
        <w:top w:val="none" w:sz="0" w:space="0" w:color="auto"/>
        <w:left w:val="none" w:sz="0" w:space="0" w:color="auto"/>
        <w:bottom w:val="none" w:sz="0" w:space="0" w:color="auto"/>
        <w:right w:val="none" w:sz="0" w:space="0" w:color="auto"/>
      </w:divBdr>
    </w:div>
    <w:div w:id="212080336">
      <w:bodyDiv w:val="1"/>
      <w:marLeft w:val="0"/>
      <w:marRight w:val="0"/>
      <w:marTop w:val="0"/>
      <w:marBottom w:val="0"/>
      <w:divBdr>
        <w:top w:val="none" w:sz="0" w:space="0" w:color="auto"/>
        <w:left w:val="none" w:sz="0" w:space="0" w:color="auto"/>
        <w:bottom w:val="none" w:sz="0" w:space="0" w:color="auto"/>
        <w:right w:val="none" w:sz="0" w:space="0" w:color="auto"/>
      </w:divBdr>
    </w:div>
    <w:div w:id="244269758">
      <w:bodyDiv w:val="1"/>
      <w:marLeft w:val="0"/>
      <w:marRight w:val="0"/>
      <w:marTop w:val="0"/>
      <w:marBottom w:val="0"/>
      <w:divBdr>
        <w:top w:val="none" w:sz="0" w:space="0" w:color="auto"/>
        <w:left w:val="none" w:sz="0" w:space="0" w:color="auto"/>
        <w:bottom w:val="none" w:sz="0" w:space="0" w:color="auto"/>
        <w:right w:val="none" w:sz="0" w:space="0" w:color="auto"/>
      </w:divBdr>
    </w:div>
    <w:div w:id="253244904">
      <w:bodyDiv w:val="1"/>
      <w:marLeft w:val="0"/>
      <w:marRight w:val="0"/>
      <w:marTop w:val="0"/>
      <w:marBottom w:val="0"/>
      <w:divBdr>
        <w:top w:val="none" w:sz="0" w:space="0" w:color="auto"/>
        <w:left w:val="none" w:sz="0" w:space="0" w:color="auto"/>
        <w:bottom w:val="none" w:sz="0" w:space="0" w:color="auto"/>
        <w:right w:val="none" w:sz="0" w:space="0" w:color="auto"/>
      </w:divBdr>
    </w:div>
    <w:div w:id="266891927">
      <w:bodyDiv w:val="1"/>
      <w:marLeft w:val="0"/>
      <w:marRight w:val="0"/>
      <w:marTop w:val="0"/>
      <w:marBottom w:val="0"/>
      <w:divBdr>
        <w:top w:val="none" w:sz="0" w:space="0" w:color="auto"/>
        <w:left w:val="none" w:sz="0" w:space="0" w:color="auto"/>
        <w:bottom w:val="none" w:sz="0" w:space="0" w:color="auto"/>
        <w:right w:val="none" w:sz="0" w:space="0" w:color="auto"/>
      </w:divBdr>
    </w:div>
    <w:div w:id="326321734">
      <w:bodyDiv w:val="1"/>
      <w:marLeft w:val="0"/>
      <w:marRight w:val="0"/>
      <w:marTop w:val="0"/>
      <w:marBottom w:val="0"/>
      <w:divBdr>
        <w:top w:val="none" w:sz="0" w:space="0" w:color="auto"/>
        <w:left w:val="none" w:sz="0" w:space="0" w:color="auto"/>
        <w:bottom w:val="none" w:sz="0" w:space="0" w:color="auto"/>
        <w:right w:val="none" w:sz="0" w:space="0" w:color="auto"/>
      </w:divBdr>
    </w:div>
    <w:div w:id="377973852">
      <w:bodyDiv w:val="1"/>
      <w:marLeft w:val="0"/>
      <w:marRight w:val="0"/>
      <w:marTop w:val="0"/>
      <w:marBottom w:val="0"/>
      <w:divBdr>
        <w:top w:val="none" w:sz="0" w:space="0" w:color="auto"/>
        <w:left w:val="none" w:sz="0" w:space="0" w:color="auto"/>
        <w:bottom w:val="none" w:sz="0" w:space="0" w:color="auto"/>
        <w:right w:val="none" w:sz="0" w:space="0" w:color="auto"/>
      </w:divBdr>
    </w:div>
    <w:div w:id="410585434">
      <w:bodyDiv w:val="1"/>
      <w:marLeft w:val="0"/>
      <w:marRight w:val="0"/>
      <w:marTop w:val="0"/>
      <w:marBottom w:val="0"/>
      <w:divBdr>
        <w:top w:val="none" w:sz="0" w:space="0" w:color="auto"/>
        <w:left w:val="none" w:sz="0" w:space="0" w:color="auto"/>
        <w:bottom w:val="none" w:sz="0" w:space="0" w:color="auto"/>
        <w:right w:val="none" w:sz="0" w:space="0" w:color="auto"/>
      </w:divBdr>
    </w:div>
    <w:div w:id="430399024">
      <w:bodyDiv w:val="1"/>
      <w:marLeft w:val="0"/>
      <w:marRight w:val="0"/>
      <w:marTop w:val="0"/>
      <w:marBottom w:val="0"/>
      <w:divBdr>
        <w:top w:val="none" w:sz="0" w:space="0" w:color="auto"/>
        <w:left w:val="none" w:sz="0" w:space="0" w:color="auto"/>
        <w:bottom w:val="none" w:sz="0" w:space="0" w:color="auto"/>
        <w:right w:val="none" w:sz="0" w:space="0" w:color="auto"/>
      </w:divBdr>
    </w:div>
    <w:div w:id="440687047">
      <w:bodyDiv w:val="1"/>
      <w:marLeft w:val="0"/>
      <w:marRight w:val="0"/>
      <w:marTop w:val="0"/>
      <w:marBottom w:val="0"/>
      <w:divBdr>
        <w:top w:val="none" w:sz="0" w:space="0" w:color="auto"/>
        <w:left w:val="none" w:sz="0" w:space="0" w:color="auto"/>
        <w:bottom w:val="none" w:sz="0" w:space="0" w:color="auto"/>
        <w:right w:val="none" w:sz="0" w:space="0" w:color="auto"/>
      </w:divBdr>
    </w:div>
    <w:div w:id="452752353">
      <w:bodyDiv w:val="1"/>
      <w:marLeft w:val="0"/>
      <w:marRight w:val="0"/>
      <w:marTop w:val="0"/>
      <w:marBottom w:val="0"/>
      <w:divBdr>
        <w:top w:val="none" w:sz="0" w:space="0" w:color="auto"/>
        <w:left w:val="none" w:sz="0" w:space="0" w:color="auto"/>
        <w:bottom w:val="none" w:sz="0" w:space="0" w:color="auto"/>
        <w:right w:val="none" w:sz="0" w:space="0" w:color="auto"/>
      </w:divBdr>
    </w:div>
    <w:div w:id="453795447">
      <w:bodyDiv w:val="1"/>
      <w:marLeft w:val="0"/>
      <w:marRight w:val="0"/>
      <w:marTop w:val="0"/>
      <w:marBottom w:val="0"/>
      <w:divBdr>
        <w:top w:val="none" w:sz="0" w:space="0" w:color="auto"/>
        <w:left w:val="none" w:sz="0" w:space="0" w:color="auto"/>
        <w:bottom w:val="none" w:sz="0" w:space="0" w:color="auto"/>
        <w:right w:val="none" w:sz="0" w:space="0" w:color="auto"/>
      </w:divBdr>
    </w:div>
    <w:div w:id="493910322">
      <w:bodyDiv w:val="1"/>
      <w:marLeft w:val="0"/>
      <w:marRight w:val="0"/>
      <w:marTop w:val="0"/>
      <w:marBottom w:val="0"/>
      <w:divBdr>
        <w:top w:val="none" w:sz="0" w:space="0" w:color="auto"/>
        <w:left w:val="none" w:sz="0" w:space="0" w:color="auto"/>
        <w:bottom w:val="none" w:sz="0" w:space="0" w:color="auto"/>
        <w:right w:val="none" w:sz="0" w:space="0" w:color="auto"/>
      </w:divBdr>
    </w:div>
    <w:div w:id="498156616">
      <w:bodyDiv w:val="1"/>
      <w:marLeft w:val="0"/>
      <w:marRight w:val="0"/>
      <w:marTop w:val="0"/>
      <w:marBottom w:val="0"/>
      <w:divBdr>
        <w:top w:val="none" w:sz="0" w:space="0" w:color="auto"/>
        <w:left w:val="none" w:sz="0" w:space="0" w:color="auto"/>
        <w:bottom w:val="none" w:sz="0" w:space="0" w:color="auto"/>
        <w:right w:val="none" w:sz="0" w:space="0" w:color="auto"/>
      </w:divBdr>
    </w:div>
    <w:div w:id="500244969">
      <w:bodyDiv w:val="1"/>
      <w:marLeft w:val="0"/>
      <w:marRight w:val="0"/>
      <w:marTop w:val="0"/>
      <w:marBottom w:val="0"/>
      <w:divBdr>
        <w:top w:val="none" w:sz="0" w:space="0" w:color="auto"/>
        <w:left w:val="none" w:sz="0" w:space="0" w:color="auto"/>
        <w:bottom w:val="none" w:sz="0" w:space="0" w:color="auto"/>
        <w:right w:val="none" w:sz="0" w:space="0" w:color="auto"/>
      </w:divBdr>
    </w:div>
    <w:div w:id="548953440">
      <w:bodyDiv w:val="1"/>
      <w:marLeft w:val="0"/>
      <w:marRight w:val="0"/>
      <w:marTop w:val="0"/>
      <w:marBottom w:val="0"/>
      <w:divBdr>
        <w:top w:val="none" w:sz="0" w:space="0" w:color="auto"/>
        <w:left w:val="none" w:sz="0" w:space="0" w:color="auto"/>
        <w:bottom w:val="none" w:sz="0" w:space="0" w:color="auto"/>
        <w:right w:val="none" w:sz="0" w:space="0" w:color="auto"/>
      </w:divBdr>
    </w:div>
    <w:div w:id="561058475">
      <w:bodyDiv w:val="1"/>
      <w:marLeft w:val="0"/>
      <w:marRight w:val="0"/>
      <w:marTop w:val="0"/>
      <w:marBottom w:val="0"/>
      <w:divBdr>
        <w:top w:val="none" w:sz="0" w:space="0" w:color="auto"/>
        <w:left w:val="none" w:sz="0" w:space="0" w:color="auto"/>
        <w:bottom w:val="none" w:sz="0" w:space="0" w:color="auto"/>
        <w:right w:val="none" w:sz="0" w:space="0" w:color="auto"/>
      </w:divBdr>
    </w:div>
    <w:div w:id="574776523">
      <w:bodyDiv w:val="1"/>
      <w:marLeft w:val="0"/>
      <w:marRight w:val="0"/>
      <w:marTop w:val="0"/>
      <w:marBottom w:val="0"/>
      <w:divBdr>
        <w:top w:val="none" w:sz="0" w:space="0" w:color="auto"/>
        <w:left w:val="none" w:sz="0" w:space="0" w:color="auto"/>
        <w:bottom w:val="none" w:sz="0" w:space="0" w:color="auto"/>
        <w:right w:val="none" w:sz="0" w:space="0" w:color="auto"/>
      </w:divBdr>
    </w:div>
    <w:div w:id="591667704">
      <w:bodyDiv w:val="1"/>
      <w:marLeft w:val="0"/>
      <w:marRight w:val="0"/>
      <w:marTop w:val="0"/>
      <w:marBottom w:val="0"/>
      <w:divBdr>
        <w:top w:val="none" w:sz="0" w:space="0" w:color="auto"/>
        <w:left w:val="none" w:sz="0" w:space="0" w:color="auto"/>
        <w:bottom w:val="none" w:sz="0" w:space="0" w:color="auto"/>
        <w:right w:val="none" w:sz="0" w:space="0" w:color="auto"/>
      </w:divBdr>
    </w:div>
    <w:div w:id="632978434">
      <w:bodyDiv w:val="1"/>
      <w:marLeft w:val="0"/>
      <w:marRight w:val="0"/>
      <w:marTop w:val="0"/>
      <w:marBottom w:val="0"/>
      <w:divBdr>
        <w:top w:val="none" w:sz="0" w:space="0" w:color="auto"/>
        <w:left w:val="none" w:sz="0" w:space="0" w:color="auto"/>
        <w:bottom w:val="none" w:sz="0" w:space="0" w:color="auto"/>
        <w:right w:val="none" w:sz="0" w:space="0" w:color="auto"/>
      </w:divBdr>
    </w:div>
    <w:div w:id="650450167">
      <w:bodyDiv w:val="1"/>
      <w:marLeft w:val="0"/>
      <w:marRight w:val="0"/>
      <w:marTop w:val="0"/>
      <w:marBottom w:val="0"/>
      <w:divBdr>
        <w:top w:val="none" w:sz="0" w:space="0" w:color="auto"/>
        <w:left w:val="none" w:sz="0" w:space="0" w:color="auto"/>
        <w:bottom w:val="none" w:sz="0" w:space="0" w:color="auto"/>
        <w:right w:val="none" w:sz="0" w:space="0" w:color="auto"/>
      </w:divBdr>
    </w:div>
    <w:div w:id="672073697">
      <w:bodyDiv w:val="1"/>
      <w:marLeft w:val="0"/>
      <w:marRight w:val="0"/>
      <w:marTop w:val="0"/>
      <w:marBottom w:val="0"/>
      <w:divBdr>
        <w:top w:val="none" w:sz="0" w:space="0" w:color="auto"/>
        <w:left w:val="none" w:sz="0" w:space="0" w:color="auto"/>
        <w:bottom w:val="none" w:sz="0" w:space="0" w:color="auto"/>
        <w:right w:val="none" w:sz="0" w:space="0" w:color="auto"/>
      </w:divBdr>
    </w:div>
    <w:div w:id="697006520">
      <w:bodyDiv w:val="1"/>
      <w:marLeft w:val="0"/>
      <w:marRight w:val="0"/>
      <w:marTop w:val="0"/>
      <w:marBottom w:val="0"/>
      <w:divBdr>
        <w:top w:val="none" w:sz="0" w:space="0" w:color="auto"/>
        <w:left w:val="none" w:sz="0" w:space="0" w:color="auto"/>
        <w:bottom w:val="none" w:sz="0" w:space="0" w:color="auto"/>
        <w:right w:val="none" w:sz="0" w:space="0" w:color="auto"/>
      </w:divBdr>
    </w:div>
    <w:div w:id="709114301">
      <w:bodyDiv w:val="1"/>
      <w:marLeft w:val="0"/>
      <w:marRight w:val="0"/>
      <w:marTop w:val="0"/>
      <w:marBottom w:val="0"/>
      <w:divBdr>
        <w:top w:val="none" w:sz="0" w:space="0" w:color="auto"/>
        <w:left w:val="none" w:sz="0" w:space="0" w:color="auto"/>
        <w:bottom w:val="none" w:sz="0" w:space="0" w:color="auto"/>
        <w:right w:val="none" w:sz="0" w:space="0" w:color="auto"/>
      </w:divBdr>
    </w:div>
    <w:div w:id="719014558">
      <w:bodyDiv w:val="1"/>
      <w:marLeft w:val="0"/>
      <w:marRight w:val="0"/>
      <w:marTop w:val="0"/>
      <w:marBottom w:val="0"/>
      <w:divBdr>
        <w:top w:val="none" w:sz="0" w:space="0" w:color="auto"/>
        <w:left w:val="none" w:sz="0" w:space="0" w:color="auto"/>
        <w:bottom w:val="none" w:sz="0" w:space="0" w:color="auto"/>
        <w:right w:val="none" w:sz="0" w:space="0" w:color="auto"/>
      </w:divBdr>
    </w:div>
    <w:div w:id="748306012">
      <w:bodyDiv w:val="1"/>
      <w:marLeft w:val="0"/>
      <w:marRight w:val="0"/>
      <w:marTop w:val="0"/>
      <w:marBottom w:val="0"/>
      <w:divBdr>
        <w:top w:val="none" w:sz="0" w:space="0" w:color="auto"/>
        <w:left w:val="none" w:sz="0" w:space="0" w:color="auto"/>
        <w:bottom w:val="none" w:sz="0" w:space="0" w:color="auto"/>
        <w:right w:val="none" w:sz="0" w:space="0" w:color="auto"/>
      </w:divBdr>
    </w:div>
    <w:div w:id="776483679">
      <w:bodyDiv w:val="1"/>
      <w:marLeft w:val="0"/>
      <w:marRight w:val="0"/>
      <w:marTop w:val="0"/>
      <w:marBottom w:val="0"/>
      <w:divBdr>
        <w:top w:val="none" w:sz="0" w:space="0" w:color="auto"/>
        <w:left w:val="none" w:sz="0" w:space="0" w:color="auto"/>
        <w:bottom w:val="none" w:sz="0" w:space="0" w:color="auto"/>
        <w:right w:val="none" w:sz="0" w:space="0" w:color="auto"/>
      </w:divBdr>
    </w:div>
    <w:div w:id="795106910">
      <w:bodyDiv w:val="1"/>
      <w:marLeft w:val="0"/>
      <w:marRight w:val="0"/>
      <w:marTop w:val="0"/>
      <w:marBottom w:val="0"/>
      <w:divBdr>
        <w:top w:val="none" w:sz="0" w:space="0" w:color="auto"/>
        <w:left w:val="none" w:sz="0" w:space="0" w:color="auto"/>
        <w:bottom w:val="none" w:sz="0" w:space="0" w:color="auto"/>
        <w:right w:val="none" w:sz="0" w:space="0" w:color="auto"/>
      </w:divBdr>
    </w:div>
    <w:div w:id="816845378">
      <w:bodyDiv w:val="1"/>
      <w:marLeft w:val="0"/>
      <w:marRight w:val="0"/>
      <w:marTop w:val="0"/>
      <w:marBottom w:val="0"/>
      <w:divBdr>
        <w:top w:val="none" w:sz="0" w:space="0" w:color="auto"/>
        <w:left w:val="none" w:sz="0" w:space="0" w:color="auto"/>
        <w:bottom w:val="none" w:sz="0" w:space="0" w:color="auto"/>
        <w:right w:val="none" w:sz="0" w:space="0" w:color="auto"/>
      </w:divBdr>
    </w:div>
    <w:div w:id="821584951">
      <w:bodyDiv w:val="1"/>
      <w:marLeft w:val="0"/>
      <w:marRight w:val="0"/>
      <w:marTop w:val="0"/>
      <w:marBottom w:val="0"/>
      <w:divBdr>
        <w:top w:val="none" w:sz="0" w:space="0" w:color="auto"/>
        <w:left w:val="none" w:sz="0" w:space="0" w:color="auto"/>
        <w:bottom w:val="none" w:sz="0" w:space="0" w:color="auto"/>
        <w:right w:val="none" w:sz="0" w:space="0" w:color="auto"/>
      </w:divBdr>
    </w:div>
    <w:div w:id="847448134">
      <w:bodyDiv w:val="1"/>
      <w:marLeft w:val="0"/>
      <w:marRight w:val="0"/>
      <w:marTop w:val="0"/>
      <w:marBottom w:val="0"/>
      <w:divBdr>
        <w:top w:val="none" w:sz="0" w:space="0" w:color="auto"/>
        <w:left w:val="none" w:sz="0" w:space="0" w:color="auto"/>
        <w:bottom w:val="none" w:sz="0" w:space="0" w:color="auto"/>
        <w:right w:val="none" w:sz="0" w:space="0" w:color="auto"/>
      </w:divBdr>
    </w:div>
    <w:div w:id="875389060">
      <w:bodyDiv w:val="1"/>
      <w:marLeft w:val="0"/>
      <w:marRight w:val="0"/>
      <w:marTop w:val="0"/>
      <w:marBottom w:val="0"/>
      <w:divBdr>
        <w:top w:val="none" w:sz="0" w:space="0" w:color="auto"/>
        <w:left w:val="none" w:sz="0" w:space="0" w:color="auto"/>
        <w:bottom w:val="none" w:sz="0" w:space="0" w:color="auto"/>
        <w:right w:val="none" w:sz="0" w:space="0" w:color="auto"/>
      </w:divBdr>
    </w:div>
    <w:div w:id="890729622">
      <w:bodyDiv w:val="1"/>
      <w:marLeft w:val="0"/>
      <w:marRight w:val="0"/>
      <w:marTop w:val="0"/>
      <w:marBottom w:val="0"/>
      <w:divBdr>
        <w:top w:val="none" w:sz="0" w:space="0" w:color="auto"/>
        <w:left w:val="none" w:sz="0" w:space="0" w:color="auto"/>
        <w:bottom w:val="none" w:sz="0" w:space="0" w:color="auto"/>
        <w:right w:val="none" w:sz="0" w:space="0" w:color="auto"/>
      </w:divBdr>
    </w:div>
    <w:div w:id="901907774">
      <w:bodyDiv w:val="1"/>
      <w:marLeft w:val="0"/>
      <w:marRight w:val="0"/>
      <w:marTop w:val="0"/>
      <w:marBottom w:val="0"/>
      <w:divBdr>
        <w:top w:val="none" w:sz="0" w:space="0" w:color="auto"/>
        <w:left w:val="none" w:sz="0" w:space="0" w:color="auto"/>
        <w:bottom w:val="none" w:sz="0" w:space="0" w:color="auto"/>
        <w:right w:val="none" w:sz="0" w:space="0" w:color="auto"/>
      </w:divBdr>
    </w:div>
    <w:div w:id="912736918">
      <w:bodyDiv w:val="1"/>
      <w:marLeft w:val="0"/>
      <w:marRight w:val="0"/>
      <w:marTop w:val="0"/>
      <w:marBottom w:val="0"/>
      <w:divBdr>
        <w:top w:val="none" w:sz="0" w:space="0" w:color="auto"/>
        <w:left w:val="none" w:sz="0" w:space="0" w:color="auto"/>
        <w:bottom w:val="none" w:sz="0" w:space="0" w:color="auto"/>
        <w:right w:val="none" w:sz="0" w:space="0" w:color="auto"/>
      </w:divBdr>
    </w:div>
    <w:div w:id="931278600">
      <w:bodyDiv w:val="1"/>
      <w:marLeft w:val="0"/>
      <w:marRight w:val="0"/>
      <w:marTop w:val="0"/>
      <w:marBottom w:val="0"/>
      <w:divBdr>
        <w:top w:val="none" w:sz="0" w:space="0" w:color="auto"/>
        <w:left w:val="none" w:sz="0" w:space="0" w:color="auto"/>
        <w:bottom w:val="none" w:sz="0" w:space="0" w:color="auto"/>
        <w:right w:val="none" w:sz="0" w:space="0" w:color="auto"/>
      </w:divBdr>
    </w:div>
    <w:div w:id="944384382">
      <w:bodyDiv w:val="1"/>
      <w:marLeft w:val="0"/>
      <w:marRight w:val="0"/>
      <w:marTop w:val="0"/>
      <w:marBottom w:val="0"/>
      <w:divBdr>
        <w:top w:val="none" w:sz="0" w:space="0" w:color="auto"/>
        <w:left w:val="none" w:sz="0" w:space="0" w:color="auto"/>
        <w:bottom w:val="none" w:sz="0" w:space="0" w:color="auto"/>
        <w:right w:val="none" w:sz="0" w:space="0" w:color="auto"/>
      </w:divBdr>
    </w:div>
    <w:div w:id="968978051">
      <w:bodyDiv w:val="1"/>
      <w:marLeft w:val="0"/>
      <w:marRight w:val="0"/>
      <w:marTop w:val="0"/>
      <w:marBottom w:val="0"/>
      <w:divBdr>
        <w:top w:val="none" w:sz="0" w:space="0" w:color="auto"/>
        <w:left w:val="none" w:sz="0" w:space="0" w:color="auto"/>
        <w:bottom w:val="none" w:sz="0" w:space="0" w:color="auto"/>
        <w:right w:val="none" w:sz="0" w:space="0" w:color="auto"/>
      </w:divBdr>
    </w:div>
    <w:div w:id="977688523">
      <w:bodyDiv w:val="1"/>
      <w:marLeft w:val="0"/>
      <w:marRight w:val="0"/>
      <w:marTop w:val="0"/>
      <w:marBottom w:val="0"/>
      <w:divBdr>
        <w:top w:val="none" w:sz="0" w:space="0" w:color="auto"/>
        <w:left w:val="none" w:sz="0" w:space="0" w:color="auto"/>
        <w:bottom w:val="none" w:sz="0" w:space="0" w:color="auto"/>
        <w:right w:val="none" w:sz="0" w:space="0" w:color="auto"/>
      </w:divBdr>
      <w:divsChild>
        <w:div w:id="271133460">
          <w:marLeft w:val="0"/>
          <w:marRight w:val="0"/>
          <w:marTop w:val="0"/>
          <w:marBottom w:val="0"/>
          <w:divBdr>
            <w:top w:val="none" w:sz="0" w:space="0" w:color="auto"/>
            <w:left w:val="none" w:sz="0" w:space="0" w:color="auto"/>
            <w:bottom w:val="none" w:sz="0" w:space="0" w:color="auto"/>
            <w:right w:val="none" w:sz="0" w:space="0" w:color="auto"/>
          </w:divBdr>
          <w:divsChild>
            <w:div w:id="308556400">
              <w:marLeft w:val="0"/>
              <w:marRight w:val="0"/>
              <w:marTop w:val="0"/>
              <w:marBottom w:val="0"/>
              <w:divBdr>
                <w:top w:val="none" w:sz="0" w:space="0" w:color="auto"/>
                <w:left w:val="none" w:sz="0" w:space="0" w:color="auto"/>
                <w:bottom w:val="none" w:sz="0" w:space="0" w:color="auto"/>
                <w:right w:val="none" w:sz="0" w:space="0" w:color="auto"/>
              </w:divBdr>
              <w:divsChild>
                <w:div w:id="1569412769">
                  <w:marLeft w:val="0"/>
                  <w:marRight w:val="0"/>
                  <w:marTop w:val="0"/>
                  <w:marBottom w:val="0"/>
                  <w:divBdr>
                    <w:top w:val="none" w:sz="0" w:space="0" w:color="auto"/>
                    <w:left w:val="none" w:sz="0" w:space="0" w:color="auto"/>
                    <w:bottom w:val="none" w:sz="0" w:space="0" w:color="auto"/>
                    <w:right w:val="none" w:sz="0" w:space="0" w:color="auto"/>
                  </w:divBdr>
                  <w:divsChild>
                    <w:div w:id="1661469305">
                      <w:marLeft w:val="0"/>
                      <w:marRight w:val="0"/>
                      <w:marTop w:val="0"/>
                      <w:marBottom w:val="0"/>
                      <w:divBdr>
                        <w:top w:val="none" w:sz="0" w:space="0" w:color="auto"/>
                        <w:left w:val="none" w:sz="0" w:space="0" w:color="auto"/>
                        <w:bottom w:val="none" w:sz="0" w:space="0" w:color="auto"/>
                        <w:right w:val="none" w:sz="0" w:space="0" w:color="auto"/>
                      </w:divBdr>
                      <w:divsChild>
                        <w:div w:id="2047178066">
                          <w:marLeft w:val="0"/>
                          <w:marRight w:val="0"/>
                          <w:marTop w:val="0"/>
                          <w:marBottom w:val="0"/>
                          <w:divBdr>
                            <w:top w:val="none" w:sz="0" w:space="0" w:color="auto"/>
                            <w:left w:val="none" w:sz="0" w:space="0" w:color="auto"/>
                            <w:bottom w:val="none" w:sz="0" w:space="0" w:color="auto"/>
                            <w:right w:val="none" w:sz="0" w:space="0" w:color="auto"/>
                          </w:divBdr>
                          <w:divsChild>
                            <w:div w:id="11786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008183">
      <w:bodyDiv w:val="1"/>
      <w:marLeft w:val="0"/>
      <w:marRight w:val="0"/>
      <w:marTop w:val="0"/>
      <w:marBottom w:val="0"/>
      <w:divBdr>
        <w:top w:val="none" w:sz="0" w:space="0" w:color="auto"/>
        <w:left w:val="none" w:sz="0" w:space="0" w:color="auto"/>
        <w:bottom w:val="none" w:sz="0" w:space="0" w:color="auto"/>
        <w:right w:val="none" w:sz="0" w:space="0" w:color="auto"/>
      </w:divBdr>
    </w:div>
    <w:div w:id="1008413469">
      <w:bodyDiv w:val="1"/>
      <w:marLeft w:val="0"/>
      <w:marRight w:val="0"/>
      <w:marTop w:val="0"/>
      <w:marBottom w:val="0"/>
      <w:divBdr>
        <w:top w:val="none" w:sz="0" w:space="0" w:color="auto"/>
        <w:left w:val="none" w:sz="0" w:space="0" w:color="auto"/>
        <w:bottom w:val="none" w:sz="0" w:space="0" w:color="auto"/>
        <w:right w:val="none" w:sz="0" w:space="0" w:color="auto"/>
      </w:divBdr>
    </w:div>
    <w:div w:id="1080447409">
      <w:bodyDiv w:val="1"/>
      <w:marLeft w:val="0"/>
      <w:marRight w:val="0"/>
      <w:marTop w:val="0"/>
      <w:marBottom w:val="0"/>
      <w:divBdr>
        <w:top w:val="none" w:sz="0" w:space="0" w:color="auto"/>
        <w:left w:val="none" w:sz="0" w:space="0" w:color="auto"/>
        <w:bottom w:val="none" w:sz="0" w:space="0" w:color="auto"/>
        <w:right w:val="none" w:sz="0" w:space="0" w:color="auto"/>
      </w:divBdr>
    </w:div>
    <w:div w:id="1084490412">
      <w:bodyDiv w:val="1"/>
      <w:marLeft w:val="0"/>
      <w:marRight w:val="0"/>
      <w:marTop w:val="0"/>
      <w:marBottom w:val="0"/>
      <w:divBdr>
        <w:top w:val="none" w:sz="0" w:space="0" w:color="auto"/>
        <w:left w:val="none" w:sz="0" w:space="0" w:color="auto"/>
        <w:bottom w:val="none" w:sz="0" w:space="0" w:color="auto"/>
        <w:right w:val="none" w:sz="0" w:space="0" w:color="auto"/>
      </w:divBdr>
      <w:divsChild>
        <w:div w:id="350421727">
          <w:marLeft w:val="0"/>
          <w:marRight w:val="0"/>
          <w:marTop w:val="0"/>
          <w:marBottom w:val="0"/>
          <w:divBdr>
            <w:top w:val="none" w:sz="0" w:space="0" w:color="auto"/>
            <w:left w:val="none" w:sz="0" w:space="0" w:color="auto"/>
            <w:bottom w:val="none" w:sz="0" w:space="0" w:color="auto"/>
            <w:right w:val="none" w:sz="0" w:space="0" w:color="auto"/>
          </w:divBdr>
          <w:divsChild>
            <w:div w:id="1380548064">
              <w:marLeft w:val="0"/>
              <w:marRight w:val="0"/>
              <w:marTop w:val="0"/>
              <w:marBottom w:val="0"/>
              <w:divBdr>
                <w:top w:val="none" w:sz="0" w:space="0" w:color="auto"/>
                <w:left w:val="none" w:sz="0" w:space="0" w:color="auto"/>
                <w:bottom w:val="none" w:sz="0" w:space="0" w:color="auto"/>
                <w:right w:val="none" w:sz="0" w:space="0" w:color="auto"/>
              </w:divBdr>
              <w:divsChild>
                <w:div w:id="266888448">
                  <w:marLeft w:val="0"/>
                  <w:marRight w:val="0"/>
                  <w:marTop w:val="0"/>
                  <w:marBottom w:val="0"/>
                  <w:divBdr>
                    <w:top w:val="none" w:sz="0" w:space="0" w:color="auto"/>
                    <w:left w:val="none" w:sz="0" w:space="0" w:color="auto"/>
                    <w:bottom w:val="none" w:sz="0" w:space="0" w:color="auto"/>
                    <w:right w:val="none" w:sz="0" w:space="0" w:color="auto"/>
                  </w:divBdr>
                  <w:divsChild>
                    <w:div w:id="1189443753">
                      <w:marLeft w:val="0"/>
                      <w:marRight w:val="0"/>
                      <w:marTop w:val="0"/>
                      <w:marBottom w:val="0"/>
                      <w:divBdr>
                        <w:top w:val="none" w:sz="0" w:space="0" w:color="auto"/>
                        <w:left w:val="none" w:sz="0" w:space="0" w:color="auto"/>
                        <w:bottom w:val="none" w:sz="0" w:space="0" w:color="auto"/>
                        <w:right w:val="none" w:sz="0" w:space="0" w:color="auto"/>
                      </w:divBdr>
                      <w:divsChild>
                        <w:div w:id="1081412761">
                          <w:marLeft w:val="0"/>
                          <w:marRight w:val="0"/>
                          <w:marTop w:val="0"/>
                          <w:marBottom w:val="0"/>
                          <w:divBdr>
                            <w:top w:val="none" w:sz="0" w:space="0" w:color="auto"/>
                            <w:left w:val="none" w:sz="0" w:space="0" w:color="auto"/>
                            <w:bottom w:val="none" w:sz="0" w:space="0" w:color="auto"/>
                            <w:right w:val="none" w:sz="0" w:space="0" w:color="auto"/>
                          </w:divBdr>
                          <w:divsChild>
                            <w:div w:id="10750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053344">
      <w:bodyDiv w:val="1"/>
      <w:marLeft w:val="0"/>
      <w:marRight w:val="0"/>
      <w:marTop w:val="0"/>
      <w:marBottom w:val="0"/>
      <w:divBdr>
        <w:top w:val="none" w:sz="0" w:space="0" w:color="auto"/>
        <w:left w:val="none" w:sz="0" w:space="0" w:color="auto"/>
        <w:bottom w:val="none" w:sz="0" w:space="0" w:color="auto"/>
        <w:right w:val="none" w:sz="0" w:space="0" w:color="auto"/>
      </w:divBdr>
    </w:div>
    <w:div w:id="1109543347">
      <w:bodyDiv w:val="1"/>
      <w:marLeft w:val="0"/>
      <w:marRight w:val="0"/>
      <w:marTop w:val="0"/>
      <w:marBottom w:val="0"/>
      <w:divBdr>
        <w:top w:val="none" w:sz="0" w:space="0" w:color="auto"/>
        <w:left w:val="none" w:sz="0" w:space="0" w:color="auto"/>
        <w:bottom w:val="none" w:sz="0" w:space="0" w:color="auto"/>
        <w:right w:val="none" w:sz="0" w:space="0" w:color="auto"/>
      </w:divBdr>
    </w:div>
    <w:div w:id="1127165842">
      <w:bodyDiv w:val="1"/>
      <w:marLeft w:val="0"/>
      <w:marRight w:val="0"/>
      <w:marTop w:val="0"/>
      <w:marBottom w:val="0"/>
      <w:divBdr>
        <w:top w:val="none" w:sz="0" w:space="0" w:color="auto"/>
        <w:left w:val="none" w:sz="0" w:space="0" w:color="auto"/>
        <w:bottom w:val="none" w:sz="0" w:space="0" w:color="auto"/>
        <w:right w:val="none" w:sz="0" w:space="0" w:color="auto"/>
      </w:divBdr>
    </w:div>
    <w:div w:id="1187791564">
      <w:bodyDiv w:val="1"/>
      <w:marLeft w:val="0"/>
      <w:marRight w:val="0"/>
      <w:marTop w:val="0"/>
      <w:marBottom w:val="0"/>
      <w:divBdr>
        <w:top w:val="none" w:sz="0" w:space="0" w:color="auto"/>
        <w:left w:val="none" w:sz="0" w:space="0" w:color="auto"/>
        <w:bottom w:val="none" w:sz="0" w:space="0" w:color="auto"/>
        <w:right w:val="none" w:sz="0" w:space="0" w:color="auto"/>
      </w:divBdr>
    </w:div>
    <w:div w:id="1193302407">
      <w:bodyDiv w:val="1"/>
      <w:marLeft w:val="0"/>
      <w:marRight w:val="0"/>
      <w:marTop w:val="0"/>
      <w:marBottom w:val="0"/>
      <w:divBdr>
        <w:top w:val="none" w:sz="0" w:space="0" w:color="auto"/>
        <w:left w:val="none" w:sz="0" w:space="0" w:color="auto"/>
        <w:bottom w:val="none" w:sz="0" w:space="0" w:color="auto"/>
        <w:right w:val="none" w:sz="0" w:space="0" w:color="auto"/>
      </w:divBdr>
    </w:div>
    <w:div w:id="1199274147">
      <w:bodyDiv w:val="1"/>
      <w:marLeft w:val="0"/>
      <w:marRight w:val="0"/>
      <w:marTop w:val="0"/>
      <w:marBottom w:val="0"/>
      <w:divBdr>
        <w:top w:val="none" w:sz="0" w:space="0" w:color="auto"/>
        <w:left w:val="none" w:sz="0" w:space="0" w:color="auto"/>
        <w:bottom w:val="none" w:sz="0" w:space="0" w:color="auto"/>
        <w:right w:val="none" w:sz="0" w:space="0" w:color="auto"/>
      </w:divBdr>
    </w:div>
    <w:div w:id="1213154482">
      <w:bodyDiv w:val="1"/>
      <w:marLeft w:val="0"/>
      <w:marRight w:val="0"/>
      <w:marTop w:val="0"/>
      <w:marBottom w:val="0"/>
      <w:divBdr>
        <w:top w:val="none" w:sz="0" w:space="0" w:color="auto"/>
        <w:left w:val="none" w:sz="0" w:space="0" w:color="auto"/>
        <w:bottom w:val="none" w:sz="0" w:space="0" w:color="auto"/>
        <w:right w:val="none" w:sz="0" w:space="0" w:color="auto"/>
      </w:divBdr>
    </w:div>
    <w:div w:id="1218081847">
      <w:bodyDiv w:val="1"/>
      <w:marLeft w:val="0"/>
      <w:marRight w:val="0"/>
      <w:marTop w:val="0"/>
      <w:marBottom w:val="0"/>
      <w:divBdr>
        <w:top w:val="none" w:sz="0" w:space="0" w:color="auto"/>
        <w:left w:val="none" w:sz="0" w:space="0" w:color="auto"/>
        <w:bottom w:val="none" w:sz="0" w:space="0" w:color="auto"/>
        <w:right w:val="none" w:sz="0" w:space="0" w:color="auto"/>
      </w:divBdr>
    </w:div>
    <w:div w:id="1242327541">
      <w:bodyDiv w:val="1"/>
      <w:marLeft w:val="0"/>
      <w:marRight w:val="0"/>
      <w:marTop w:val="0"/>
      <w:marBottom w:val="0"/>
      <w:divBdr>
        <w:top w:val="none" w:sz="0" w:space="0" w:color="auto"/>
        <w:left w:val="none" w:sz="0" w:space="0" w:color="auto"/>
        <w:bottom w:val="none" w:sz="0" w:space="0" w:color="auto"/>
        <w:right w:val="none" w:sz="0" w:space="0" w:color="auto"/>
      </w:divBdr>
    </w:div>
    <w:div w:id="1259751536">
      <w:bodyDiv w:val="1"/>
      <w:marLeft w:val="0"/>
      <w:marRight w:val="0"/>
      <w:marTop w:val="0"/>
      <w:marBottom w:val="0"/>
      <w:divBdr>
        <w:top w:val="none" w:sz="0" w:space="0" w:color="auto"/>
        <w:left w:val="none" w:sz="0" w:space="0" w:color="auto"/>
        <w:bottom w:val="none" w:sz="0" w:space="0" w:color="auto"/>
        <w:right w:val="none" w:sz="0" w:space="0" w:color="auto"/>
      </w:divBdr>
    </w:div>
    <w:div w:id="1267275433">
      <w:bodyDiv w:val="1"/>
      <w:marLeft w:val="0"/>
      <w:marRight w:val="0"/>
      <w:marTop w:val="0"/>
      <w:marBottom w:val="0"/>
      <w:divBdr>
        <w:top w:val="none" w:sz="0" w:space="0" w:color="auto"/>
        <w:left w:val="none" w:sz="0" w:space="0" w:color="auto"/>
        <w:bottom w:val="none" w:sz="0" w:space="0" w:color="auto"/>
        <w:right w:val="none" w:sz="0" w:space="0" w:color="auto"/>
      </w:divBdr>
    </w:div>
    <w:div w:id="1313093945">
      <w:bodyDiv w:val="1"/>
      <w:marLeft w:val="0"/>
      <w:marRight w:val="0"/>
      <w:marTop w:val="0"/>
      <w:marBottom w:val="0"/>
      <w:divBdr>
        <w:top w:val="none" w:sz="0" w:space="0" w:color="auto"/>
        <w:left w:val="none" w:sz="0" w:space="0" w:color="auto"/>
        <w:bottom w:val="none" w:sz="0" w:space="0" w:color="auto"/>
        <w:right w:val="none" w:sz="0" w:space="0" w:color="auto"/>
      </w:divBdr>
    </w:div>
    <w:div w:id="1319308975">
      <w:bodyDiv w:val="1"/>
      <w:marLeft w:val="0"/>
      <w:marRight w:val="0"/>
      <w:marTop w:val="0"/>
      <w:marBottom w:val="0"/>
      <w:divBdr>
        <w:top w:val="none" w:sz="0" w:space="0" w:color="auto"/>
        <w:left w:val="none" w:sz="0" w:space="0" w:color="auto"/>
        <w:bottom w:val="none" w:sz="0" w:space="0" w:color="auto"/>
        <w:right w:val="none" w:sz="0" w:space="0" w:color="auto"/>
      </w:divBdr>
    </w:div>
    <w:div w:id="1354261357">
      <w:bodyDiv w:val="1"/>
      <w:marLeft w:val="0"/>
      <w:marRight w:val="0"/>
      <w:marTop w:val="0"/>
      <w:marBottom w:val="0"/>
      <w:divBdr>
        <w:top w:val="none" w:sz="0" w:space="0" w:color="auto"/>
        <w:left w:val="none" w:sz="0" w:space="0" w:color="auto"/>
        <w:bottom w:val="none" w:sz="0" w:space="0" w:color="auto"/>
        <w:right w:val="none" w:sz="0" w:space="0" w:color="auto"/>
      </w:divBdr>
    </w:div>
    <w:div w:id="1402947336">
      <w:bodyDiv w:val="1"/>
      <w:marLeft w:val="0"/>
      <w:marRight w:val="0"/>
      <w:marTop w:val="0"/>
      <w:marBottom w:val="0"/>
      <w:divBdr>
        <w:top w:val="none" w:sz="0" w:space="0" w:color="auto"/>
        <w:left w:val="none" w:sz="0" w:space="0" w:color="auto"/>
        <w:bottom w:val="none" w:sz="0" w:space="0" w:color="auto"/>
        <w:right w:val="none" w:sz="0" w:space="0" w:color="auto"/>
      </w:divBdr>
    </w:div>
    <w:div w:id="1412314000">
      <w:bodyDiv w:val="1"/>
      <w:marLeft w:val="0"/>
      <w:marRight w:val="0"/>
      <w:marTop w:val="0"/>
      <w:marBottom w:val="0"/>
      <w:divBdr>
        <w:top w:val="none" w:sz="0" w:space="0" w:color="auto"/>
        <w:left w:val="none" w:sz="0" w:space="0" w:color="auto"/>
        <w:bottom w:val="none" w:sz="0" w:space="0" w:color="auto"/>
        <w:right w:val="none" w:sz="0" w:space="0" w:color="auto"/>
      </w:divBdr>
    </w:div>
    <w:div w:id="1421023333">
      <w:bodyDiv w:val="1"/>
      <w:marLeft w:val="0"/>
      <w:marRight w:val="0"/>
      <w:marTop w:val="0"/>
      <w:marBottom w:val="0"/>
      <w:divBdr>
        <w:top w:val="none" w:sz="0" w:space="0" w:color="auto"/>
        <w:left w:val="none" w:sz="0" w:space="0" w:color="auto"/>
        <w:bottom w:val="none" w:sz="0" w:space="0" w:color="auto"/>
        <w:right w:val="none" w:sz="0" w:space="0" w:color="auto"/>
      </w:divBdr>
    </w:div>
    <w:div w:id="1423912507">
      <w:bodyDiv w:val="1"/>
      <w:marLeft w:val="0"/>
      <w:marRight w:val="0"/>
      <w:marTop w:val="0"/>
      <w:marBottom w:val="0"/>
      <w:divBdr>
        <w:top w:val="none" w:sz="0" w:space="0" w:color="auto"/>
        <w:left w:val="none" w:sz="0" w:space="0" w:color="auto"/>
        <w:bottom w:val="none" w:sz="0" w:space="0" w:color="auto"/>
        <w:right w:val="none" w:sz="0" w:space="0" w:color="auto"/>
      </w:divBdr>
    </w:div>
    <w:div w:id="1437169649">
      <w:bodyDiv w:val="1"/>
      <w:marLeft w:val="0"/>
      <w:marRight w:val="0"/>
      <w:marTop w:val="0"/>
      <w:marBottom w:val="0"/>
      <w:divBdr>
        <w:top w:val="none" w:sz="0" w:space="0" w:color="auto"/>
        <w:left w:val="none" w:sz="0" w:space="0" w:color="auto"/>
        <w:bottom w:val="none" w:sz="0" w:space="0" w:color="auto"/>
        <w:right w:val="none" w:sz="0" w:space="0" w:color="auto"/>
      </w:divBdr>
    </w:div>
    <w:div w:id="1440754535">
      <w:bodyDiv w:val="1"/>
      <w:marLeft w:val="0"/>
      <w:marRight w:val="0"/>
      <w:marTop w:val="0"/>
      <w:marBottom w:val="0"/>
      <w:divBdr>
        <w:top w:val="none" w:sz="0" w:space="0" w:color="auto"/>
        <w:left w:val="none" w:sz="0" w:space="0" w:color="auto"/>
        <w:bottom w:val="none" w:sz="0" w:space="0" w:color="auto"/>
        <w:right w:val="none" w:sz="0" w:space="0" w:color="auto"/>
      </w:divBdr>
    </w:div>
    <w:div w:id="1469854496">
      <w:bodyDiv w:val="1"/>
      <w:marLeft w:val="0"/>
      <w:marRight w:val="0"/>
      <w:marTop w:val="0"/>
      <w:marBottom w:val="0"/>
      <w:divBdr>
        <w:top w:val="none" w:sz="0" w:space="0" w:color="auto"/>
        <w:left w:val="none" w:sz="0" w:space="0" w:color="auto"/>
        <w:bottom w:val="none" w:sz="0" w:space="0" w:color="auto"/>
        <w:right w:val="none" w:sz="0" w:space="0" w:color="auto"/>
      </w:divBdr>
    </w:div>
    <w:div w:id="1475492387">
      <w:bodyDiv w:val="1"/>
      <w:marLeft w:val="0"/>
      <w:marRight w:val="0"/>
      <w:marTop w:val="0"/>
      <w:marBottom w:val="0"/>
      <w:divBdr>
        <w:top w:val="none" w:sz="0" w:space="0" w:color="auto"/>
        <w:left w:val="none" w:sz="0" w:space="0" w:color="auto"/>
        <w:bottom w:val="none" w:sz="0" w:space="0" w:color="auto"/>
        <w:right w:val="none" w:sz="0" w:space="0" w:color="auto"/>
      </w:divBdr>
    </w:div>
    <w:div w:id="1488399588">
      <w:bodyDiv w:val="1"/>
      <w:marLeft w:val="0"/>
      <w:marRight w:val="0"/>
      <w:marTop w:val="0"/>
      <w:marBottom w:val="0"/>
      <w:divBdr>
        <w:top w:val="none" w:sz="0" w:space="0" w:color="auto"/>
        <w:left w:val="none" w:sz="0" w:space="0" w:color="auto"/>
        <w:bottom w:val="none" w:sz="0" w:space="0" w:color="auto"/>
        <w:right w:val="none" w:sz="0" w:space="0" w:color="auto"/>
      </w:divBdr>
    </w:div>
    <w:div w:id="1494103669">
      <w:bodyDiv w:val="1"/>
      <w:marLeft w:val="0"/>
      <w:marRight w:val="0"/>
      <w:marTop w:val="0"/>
      <w:marBottom w:val="0"/>
      <w:divBdr>
        <w:top w:val="none" w:sz="0" w:space="0" w:color="auto"/>
        <w:left w:val="none" w:sz="0" w:space="0" w:color="auto"/>
        <w:bottom w:val="none" w:sz="0" w:space="0" w:color="auto"/>
        <w:right w:val="none" w:sz="0" w:space="0" w:color="auto"/>
      </w:divBdr>
    </w:div>
    <w:div w:id="1519270119">
      <w:bodyDiv w:val="1"/>
      <w:marLeft w:val="0"/>
      <w:marRight w:val="0"/>
      <w:marTop w:val="0"/>
      <w:marBottom w:val="0"/>
      <w:divBdr>
        <w:top w:val="none" w:sz="0" w:space="0" w:color="auto"/>
        <w:left w:val="none" w:sz="0" w:space="0" w:color="auto"/>
        <w:bottom w:val="none" w:sz="0" w:space="0" w:color="auto"/>
        <w:right w:val="none" w:sz="0" w:space="0" w:color="auto"/>
      </w:divBdr>
    </w:div>
    <w:div w:id="1525167795">
      <w:bodyDiv w:val="1"/>
      <w:marLeft w:val="0"/>
      <w:marRight w:val="0"/>
      <w:marTop w:val="0"/>
      <w:marBottom w:val="0"/>
      <w:divBdr>
        <w:top w:val="none" w:sz="0" w:space="0" w:color="auto"/>
        <w:left w:val="none" w:sz="0" w:space="0" w:color="auto"/>
        <w:bottom w:val="none" w:sz="0" w:space="0" w:color="auto"/>
        <w:right w:val="none" w:sz="0" w:space="0" w:color="auto"/>
      </w:divBdr>
    </w:div>
    <w:div w:id="1541626482">
      <w:bodyDiv w:val="1"/>
      <w:marLeft w:val="0"/>
      <w:marRight w:val="0"/>
      <w:marTop w:val="0"/>
      <w:marBottom w:val="0"/>
      <w:divBdr>
        <w:top w:val="none" w:sz="0" w:space="0" w:color="auto"/>
        <w:left w:val="none" w:sz="0" w:space="0" w:color="auto"/>
        <w:bottom w:val="none" w:sz="0" w:space="0" w:color="auto"/>
        <w:right w:val="none" w:sz="0" w:space="0" w:color="auto"/>
      </w:divBdr>
    </w:div>
    <w:div w:id="1542589968">
      <w:bodyDiv w:val="1"/>
      <w:marLeft w:val="0"/>
      <w:marRight w:val="0"/>
      <w:marTop w:val="0"/>
      <w:marBottom w:val="0"/>
      <w:divBdr>
        <w:top w:val="none" w:sz="0" w:space="0" w:color="auto"/>
        <w:left w:val="none" w:sz="0" w:space="0" w:color="auto"/>
        <w:bottom w:val="none" w:sz="0" w:space="0" w:color="auto"/>
        <w:right w:val="none" w:sz="0" w:space="0" w:color="auto"/>
      </w:divBdr>
    </w:div>
    <w:div w:id="1549681605">
      <w:bodyDiv w:val="1"/>
      <w:marLeft w:val="0"/>
      <w:marRight w:val="0"/>
      <w:marTop w:val="0"/>
      <w:marBottom w:val="0"/>
      <w:divBdr>
        <w:top w:val="none" w:sz="0" w:space="0" w:color="auto"/>
        <w:left w:val="none" w:sz="0" w:space="0" w:color="auto"/>
        <w:bottom w:val="none" w:sz="0" w:space="0" w:color="auto"/>
        <w:right w:val="none" w:sz="0" w:space="0" w:color="auto"/>
      </w:divBdr>
    </w:div>
    <w:div w:id="1622030811">
      <w:bodyDiv w:val="1"/>
      <w:marLeft w:val="0"/>
      <w:marRight w:val="0"/>
      <w:marTop w:val="0"/>
      <w:marBottom w:val="0"/>
      <w:divBdr>
        <w:top w:val="none" w:sz="0" w:space="0" w:color="auto"/>
        <w:left w:val="none" w:sz="0" w:space="0" w:color="auto"/>
        <w:bottom w:val="none" w:sz="0" w:space="0" w:color="auto"/>
        <w:right w:val="none" w:sz="0" w:space="0" w:color="auto"/>
      </w:divBdr>
    </w:div>
    <w:div w:id="1624188186">
      <w:bodyDiv w:val="1"/>
      <w:marLeft w:val="0"/>
      <w:marRight w:val="0"/>
      <w:marTop w:val="0"/>
      <w:marBottom w:val="0"/>
      <w:divBdr>
        <w:top w:val="none" w:sz="0" w:space="0" w:color="auto"/>
        <w:left w:val="none" w:sz="0" w:space="0" w:color="auto"/>
        <w:bottom w:val="none" w:sz="0" w:space="0" w:color="auto"/>
        <w:right w:val="none" w:sz="0" w:space="0" w:color="auto"/>
      </w:divBdr>
    </w:div>
    <w:div w:id="1630359992">
      <w:bodyDiv w:val="1"/>
      <w:marLeft w:val="0"/>
      <w:marRight w:val="0"/>
      <w:marTop w:val="0"/>
      <w:marBottom w:val="0"/>
      <w:divBdr>
        <w:top w:val="none" w:sz="0" w:space="0" w:color="auto"/>
        <w:left w:val="none" w:sz="0" w:space="0" w:color="auto"/>
        <w:bottom w:val="none" w:sz="0" w:space="0" w:color="auto"/>
        <w:right w:val="none" w:sz="0" w:space="0" w:color="auto"/>
      </w:divBdr>
    </w:div>
    <w:div w:id="1670326101">
      <w:bodyDiv w:val="1"/>
      <w:marLeft w:val="0"/>
      <w:marRight w:val="0"/>
      <w:marTop w:val="0"/>
      <w:marBottom w:val="0"/>
      <w:divBdr>
        <w:top w:val="none" w:sz="0" w:space="0" w:color="auto"/>
        <w:left w:val="none" w:sz="0" w:space="0" w:color="auto"/>
        <w:bottom w:val="none" w:sz="0" w:space="0" w:color="auto"/>
        <w:right w:val="none" w:sz="0" w:space="0" w:color="auto"/>
      </w:divBdr>
    </w:div>
    <w:div w:id="1685549501">
      <w:bodyDiv w:val="1"/>
      <w:marLeft w:val="0"/>
      <w:marRight w:val="0"/>
      <w:marTop w:val="0"/>
      <w:marBottom w:val="0"/>
      <w:divBdr>
        <w:top w:val="none" w:sz="0" w:space="0" w:color="auto"/>
        <w:left w:val="none" w:sz="0" w:space="0" w:color="auto"/>
        <w:bottom w:val="none" w:sz="0" w:space="0" w:color="auto"/>
        <w:right w:val="none" w:sz="0" w:space="0" w:color="auto"/>
      </w:divBdr>
    </w:div>
    <w:div w:id="1701198654">
      <w:bodyDiv w:val="1"/>
      <w:marLeft w:val="0"/>
      <w:marRight w:val="0"/>
      <w:marTop w:val="0"/>
      <w:marBottom w:val="0"/>
      <w:divBdr>
        <w:top w:val="none" w:sz="0" w:space="0" w:color="auto"/>
        <w:left w:val="none" w:sz="0" w:space="0" w:color="auto"/>
        <w:bottom w:val="none" w:sz="0" w:space="0" w:color="auto"/>
        <w:right w:val="none" w:sz="0" w:space="0" w:color="auto"/>
      </w:divBdr>
    </w:div>
    <w:div w:id="1742947078">
      <w:bodyDiv w:val="1"/>
      <w:marLeft w:val="0"/>
      <w:marRight w:val="0"/>
      <w:marTop w:val="0"/>
      <w:marBottom w:val="0"/>
      <w:divBdr>
        <w:top w:val="none" w:sz="0" w:space="0" w:color="auto"/>
        <w:left w:val="none" w:sz="0" w:space="0" w:color="auto"/>
        <w:bottom w:val="none" w:sz="0" w:space="0" w:color="auto"/>
        <w:right w:val="none" w:sz="0" w:space="0" w:color="auto"/>
      </w:divBdr>
    </w:div>
    <w:div w:id="1760447227">
      <w:bodyDiv w:val="1"/>
      <w:marLeft w:val="0"/>
      <w:marRight w:val="0"/>
      <w:marTop w:val="0"/>
      <w:marBottom w:val="0"/>
      <w:divBdr>
        <w:top w:val="none" w:sz="0" w:space="0" w:color="auto"/>
        <w:left w:val="none" w:sz="0" w:space="0" w:color="auto"/>
        <w:bottom w:val="none" w:sz="0" w:space="0" w:color="auto"/>
        <w:right w:val="none" w:sz="0" w:space="0" w:color="auto"/>
      </w:divBdr>
    </w:div>
    <w:div w:id="1770538423">
      <w:bodyDiv w:val="1"/>
      <w:marLeft w:val="0"/>
      <w:marRight w:val="0"/>
      <w:marTop w:val="0"/>
      <w:marBottom w:val="0"/>
      <w:divBdr>
        <w:top w:val="none" w:sz="0" w:space="0" w:color="auto"/>
        <w:left w:val="none" w:sz="0" w:space="0" w:color="auto"/>
        <w:bottom w:val="none" w:sz="0" w:space="0" w:color="auto"/>
        <w:right w:val="none" w:sz="0" w:space="0" w:color="auto"/>
      </w:divBdr>
    </w:div>
    <w:div w:id="1794708231">
      <w:bodyDiv w:val="1"/>
      <w:marLeft w:val="0"/>
      <w:marRight w:val="0"/>
      <w:marTop w:val="0"/>
      <w:marBottom w:val="0"/>
      <w:divBdr>
        <w:top w:val="none" w:sz="0" w:space="0" w:color="auto"/>
        <w:left w:val="none" w:sz="0" w:space="0" w:color="auto"/>
        <w:bottom w:val="none" w:sz="0" w:space="0" w:color="auto"/>
        <w:right w:val="none" w:sz="0" w:space="0" w:color="auto"/>
      </w:divBdr>
    </w:div>
    <w:div w:id="1805849811">
      <w:bodyDiv w:val="1"/>
      <w:marLeft w:val="0"/>
      <w:marRight w:val="0"/>
      <w:marTop w:val="0"/>
      <w:marBottom w:val="0"/>
      <w:divBdr>
        <w:top w:val="none" w:sz="0" w:space="0" w:color="auto"/>
        <w:left w:val="none" w:sz="0" w:space="0" w:color="auto"/>
        <w:bottom w:val="none" w:sz="0" w:space="0" w:color="auto"/>
        <w:right w:val="none" w:sz="0" w:space="0" w:color="auto"/>
      </w:divBdr>
    </w:div>
    <w:div w:id="1807162616">
      <w:bodyDiv w:val="1"/>
      <w:marLeft w:val="0"/>
      <w:marRight w:val="0"/>
      <w:marTop w:val="0"/>
      <w:marBottom w:val="0"/>
      <w:divBdr>
        <w:top w:val="none" w:sz="0" w:space="0" w:color="auto"/>
        <w:left w:val="none" w:sz="0" w:space="0" w:color="auto"/>
        <w:bottom w:val="none" w:sz="0" w:space="0" w:color="auto"/>
        <w:right w:val="none" w:sz="0" w:space="0" w:color="auto"/>
      </w:divBdr>
    </w:div>
    <w:div w:id="1807695167">
      <w:bodyDiv w:val="1"/>
      <w:marLeft w:val="0"/>
      <w:marRight w:val="0"/>
      <w:marTop w:val="0"/>
      <w:marBottom w:val="0"/>
      <w:divBdr>
        <w:top w:val="none" w:sz="0" w:space="0" w:color="auto"/>
        <w:left w:val="none" w:sz="0" w:space="0" w:color="auto"/>
        <w:bottom w:val="none" w:sz="0" w:space="0" w:color="auto"/>
        <w:right w:val="none" w:sz="0" w:space="0" w:color="auto"/>
      </w:divBdr>
    </w:div>
    <w:div w:id="1824587938">
      <w:bodyDiv w:val="1"/>
      <w:marLeft w:val="0"/>
      <w:marRight w:val="0"/>
      <w:marTop w:val="0"/>
      <w:marBottom w:val="0"/>
      <w:divBdr>
        <w:top w:val="none" w:sz="0" w:space="0" w:color="auto"/>
        <w:left w:val="none" w:sz="0" w:space="0" w:color="auto"/>
        <w:bottom w:val="none" w:sz="0" w:space="0" w:color="auto"/>
        <w:right w:val="none" w:sz="0" w:space="0" w:color="auto"/>
      </w:divBdr>
    </w:div>
    <w:div w:id="1831629705">
      <w:bodyDiv w:val="1"/>
      <w:marLeft w:val="0"/>
      <w:marRight w:val="0"/>
      <w:marTop w:val="0"/>
      <w:marBottom w:val="0"/>
      <w:divBdr>
        <w:top w:val="none" w:sz="0" w:space="0" w:color="auto"/>
        <w:left w:val="none" w:sz="0" w:space="0" w:color="auto"/>
        <w:bottom w:val="none" w:sz="0" w:space="0" w:color="auto"/>
        <w:right w:val="none" w:sz="0" w:space="0" w:color="auto"/>
      </w:divBdr>
    </w:div>
    <w:div w:id="1848247812">
      <w:bodyDiv w:val="1"/>
      <w:marLeft w:val="0"/>
      <w:marRight w:val="0"/>
      <w:marTop w:val="0"/>
      <w:marBottom w:val="0"/>
      <w:divBdr>
        <w:top w:val="none" w:sz="0" w:space="0" w:color="auto"/>
        <w:left w:val="none" w:sz="0" w:space="0" w:color="auto"/>
        <w:bottom w:val="none" w:sz="0" w:space="0" w:color="auto"/>
        <w:right w:val="none" w:sz="0" w:space="0" w:color="auto"/>
      </w:divBdr>
    </w:div>
    <w:div w:id="1863978164">
      <w:bodyDiv w:val="1"/>
      <w:marLeft w:val="0"/>
      <w:marRight w:val="0"/>
      <w:marTop w:val="0"/>
      <w:marBottom w:val="0"/>
      <w:divBdr>
        <w:top w:val="none" w:sz="0" w:space="0" w:color="auto"/>
        <w:left w:val="none" w:sz="0" w:space="0" w:color="auto"/>
        <w:bottom w:val="none" w:sz="0" w:space="0" w:color="auto"/>
        <w:right w:val="none" w:sz="0" w:space="0" w:color="auto"/>
      </w:divBdr>
    </w:div>
    <w:div w:id="1876767231">
      <w:bodyDiv w:val="1"/>
      <w:marLeft w:val="0"/>
      <w:marRight w:val="0"/>
      <w:marTop w:val="0"/>
      <w:marBottom w:val="0"/>
      <w:divBdr>
        <w:top w:val="none" w:sz="0" w:space="0" w:color="auto"/>
        <w:left w:val="none" w:sz="0" w:space="0" w:color="auto"/>
        <w:bottom w:val="none" w:sz="0" w:space="0" w:color="auto"/>
        <w:right w:val="none" w:sz="0" w:space="0" w:color="auto"/>
      </w:divBdr>
    </w:div>
    <w:div w:id="1894151874">
      <w:bodyDiv w:val="1"/>
      <w:marLeft w:val="0"/>
      <w:marRight w:val="0"/>
      <w:marTop w:val="0"/>
      <w:marBottom w:val="0"/>
      <w:divBdr>
        <w:top w:val="none" w:sz="0" w:space="0" w:color="auto"/>
        <w:left w:val="none" w:sz="0" w:space="0" w:color="auto"/>
        <w:bottom w:val="none" w:sz="0" w:space="0" w:color="auto"/>
        <w:right w:val="none" w:sz="0" w:space="0" w:color="auto"/>
      </w:divBdr>
    </w:div>
    <w:div w:id="1900092116">
      <w:bodyDiv w:val="1"/>
      <w:marLeft w:val="0"/>
      <w:marRight w:val="0"/>
      <w:marTop w:val="0"/>
      <w:marBottom w:val="0"/>
      <w:divBdr>
        <w:top w:val="none" w:sz="0" w:space="0" w:color="auto"/>
        <w:left w:val="none" w:sz="0" w:space="0" w:color="auto"/>
        <w:bottom w:val="none" w:sz="0" w:space="0" w:color="auto"/>
        <w:right w:val="none" w:sz="0" w:space="0" w:color="auto"/>
      </w:divBdr>
    </w:div>
    <w:div w:id="1904489560">
      <w:bodyDiv w:val="1"/>
      <w:marLeft w:val="0"/>
      <w:marRight w:val="0"/>
      <w:marTop w:val="0"/>
      <w:marBottom w:val="0"/>
      <w:divBdr>
        <w:top w:val="none" w:sz="0" w:space="0" w:color="auto"/>
        <w:left w:val="none" w:sz="0" w:space="0" w:color="auto"/>
        <w:bottom w:val="none" w:sz="0" w:space="0" w:color="auto"/>
        <w:right w:val="none" w:sz="0" w:space="0" w:color="auto"/>
      </w:divBdr>
    </w:div>
    <w:div w:id="1925796676">
      <w:bodyDiv w:val="1"/>
      <w:marLeft w:val="0"/>
      <w:marRight w:val="0"/>
      <w:marTop w:val="0"/>
      <w:marBottom w:val="0"/>
      <w:divBdr>
        <w:top w:val="none" w:sz="0" w:space="0" w:color="auto"/>
        <w:left w:val="none" w:sz="0" w:space="0" w:color="auto"/>
        <w:bottom w:val="none" w:sz="0" w:space="0" w:color="auto"/>
        <w:right w:val="none" w:sz="0" w:space="0" w:color="auto"/>
      </w:divBdr>
    </w:div>
    <w:div w:id="1950889198">
      <w:bodyDiv w:val="1"/>
      <w:marLeft w:val="0"/>
      <w:marRight w:val="0"/>
      <w:marTop w:val="0"/>
      <w:marBottom w:val="0"/>
      <w:divBdr>
        <w:top w:val="none" w:sz="0" w:space="0" w:color="auto"/>
        <w:left w:val="none" w:sz="0" w:space="0" w:color="auto"/>
        <w:bottom w:val="none" w:sz="0" w:space="0" w:color="auto"/>
        <w:right w:val="none" w:sz="0" w:space="0" w:color="auto"/>
      </w:divBdr>
    </w:div>
    <w:div w:id="1961954747">
      <w:bodyDiv w:val="1"/>
      <w:marLeft w:val="0"/>
      <w:marRight w:val="0"/>
      <w:marTop w:val="0"/>
      <w:marBottom w:val="0"/>
      <w:divBdr>
        <w:top w:val="none" w:sz="0" w:space="0" w:color="auto"/>
        <w:left w:val="none" w:sz="0" w:space="0" w:color="auto"/>
        <w:bottom w:val="none" w:sz="0" w:space="0" w:color="auto"/>
        <w:right w:val="none" w:sz="0" w:space="0" w:color="auto"/>
      </w:divBdr>
    </w:div>
    <w:div w:id="1962032127">
      <w:bodyDiv w:val="1"/>
      <w:marLeft w:val="0"/>
      <w:marRight w:val="0"/>
      <w:marTop w:val="0"/>
      <w:marBottom w:val="0"/>
      <w:divBdr>
        <w:top w:val="none" w:sz="0" w:space="0" w:color="auto"/>
        <w:left w:val="none" w:sz="0" w:space="0" w:color="auto"/>
        <w:bottom w:val="none" w:sz="0" w:space="0" w:color="auto"/>
        <w:right w:val="none" w:sz="0" w:space="0" w:color="auto"/>
      </w:divBdr>
    </w:div>
    <w:div w:id="1964994131">
      <w:bodyDiv w:val="1"/>
      <w:marLeft w:val="0"/>
      <w:marRight w:val="0"/>
      <w:marTop w:val="0"/>
      <w:marBottom w:val="0"/>
      <w:divBdr>
        <w:top w:val="none" w:sz="0" w:space="0" w:color="auto"/>
        <w:left w:val="none" w:sz="0" w:space="0" w:color="auto"/>
        <w:bottom w:val="none" w:sz="0" w:space="0" w:color="auto"/>
        <w:right w:val="none" w:sz="0" w:space="0" w:color="auto"/>
      </w:divBdr>
    </w:div>
    <w:div w:id="1977225019">
      <w:bodyDiv w:val="1"/>
      <w:marLeft w:val="0"/>
      <w:marRight w:val="0"/>
      <w:marTop w:val="0"/>
      <w:marBottom w:val="0"/>
      <w:divBdr>
        <w:top w:val="none" w:sz="0" w:space="0" w:color="auto"/>
        <w:left w:val="none" w:sz="0" w:space="0" w:color="auto"/>
        <w:bottom w:val="none" w:sz="0" w:space="0" w:color="auto"/>
        <w:right w:val="none" w:sz="0" w:space="0" w:color="auto"/>
      </w:divBdr>
    </w:div>
    <w:div w:id="2006592417">
      <w:bodyDiv w:val="1"/>
      <w:marLeft w:val="0"/>
      <w:marRight w:val="0"/>
      <w:marTop w:val="0"/>
      <w:marBottom w:val="0"/>
      <w:divBdr>
        <w:top w:val="none" w:sz="0" w:space="0" w:color="auto"/>
        <w:left w:val="none" w:sz="0" w:space="0" w:color="auto"/>
        <w:bottom w:val="none" w:sz="0" w:space="0" w:color="auto"/>
        <w:right w:val="none" w:sz="0" w:space="0" w:color="auto"/>
      </w:divBdr>
    </w:div>
    <w:div w:id="2031837802">
      <w:bodyDiv w:val="1"/>
      <w:marLeft w:val="0"/>
      <w:marRight w:val="0"/>
      <w:marTop w:val="0"/>
      <w:marBottom w:val="0"/>
      <w:divBdr>
        <w:top w:val="none" w:sz="0" w:space="0" w:color="auto"/>
        <w:left w:val="none" w:sz="0" w:space="0" w:color="auto"/>
        <w:bottom w:val="none" w:sz="0" w:space="0" w:color="auto"/>
        <w:right w:val="none" w:sz="0" w:space="0" w:color="auto"/>
      </w:divBdr>
    </w:div>
    <w:div w:id="2037151984">
      <w:bodyDiv w:val="1"/>
      <w:marLeft w:val="0"/>
      <w:marRight w:val="0"/>
      <w:marTop w:val="0"/>
      <w:marBottom w:val="0"/>
      <w:divBdr>
        <w:top w:val="none" w:sz="0" w:space="0" w:color="auto"/>
        <w:left w:val="none" w:sz="0" w:space="0" w:color="auto"/>
        <w:bottom w:val="none" w:sz="0" w:space="0" w:color="auto"/>
        <w:right w:val="none" w:sz="0" w:space="0" w:color="auto"/>
      </w:divBdr>
    </w:div>
    <w:div w:id="2039701040">
      <w:bodyDiv w:val="1"/>
      <w:marLeft w:val="0"/>
      <w:marRight w:val="0"/>
      <w:marTop w:val="0"/>
      <w:marBottom w:val="0"/>
      <w:divBdr>
        <w:top w:val="none" w:sz="0" w:space="0" w:color="auto"/>
        <w:left w:val="none" w:sz="0" w:space="0" w:color="auto"/>
        <w:bottom w:val="none" w:sz="0" w:space="0" w:color="auto"/>
        <w:right w:val="none" w:sz="0" w:space="0" w:color="auto"/>
      </w:divBdr>
    </w:div>
    <w:div w:id="2058163738">
      <w:bodyDiv w:val="1"/>
      <w:marLeft w:val="0"/>
      <w:marRight w:val="0"/>
      <w:marTop w:val="0"/>
      <w:marBottom w:val="0"/>
      <w:divBdr>
        <w:top w:val="none" w:sz="0" w:space="0" w:color="auto"/>
        <w:left w:val="none" w:sz="0" w:space="0" w:color="auto"/>
        <w:bottom w:val="none" w:sz="0" w:space="0" w:color="auto"/>
        <w:right w:val="none" w:sz="0" w:space="0" w:color="auto"/>
      </w:divBdr>
    </w:div>
    <w:div w:id="2064719495">
      <w:bodyDiv w:val="1"/>
      <w:marLeft w:val="0"/>
      <w:marRight w:val="0"/>
      <w:marTop w:val="0"/>
      <w:marBottom w:val="0"/>
      <w:divBdr>
        <w:top w:val="none" w:sz="0" w:space="0" w:color="auto"/>
        <w:left w:val="none" w:sz="0" w:space="0" w:color="auto"/>
        <w:bottom w:val="none" w:sz="0" w:space="0" w:color="auto"/>
        <w:right w:val="none" w:sz="0" w:space="0" w:color="auto"/>
      </w:divBdr>
    </w:div>
    <w:div w:id="2078628634">
      <w:bodyDiv w:val="1"/>
      <w:marLeft w:val="0"/>
      <w:marRight w:val="0"/>
      <w:marTop w:val="0"/>
      <w:marBottom w:val="0"/>
      <w:divBdr>
        <w:top w:val="none" w:sz="0" w:space="0" w:color="auto"/>
        <w:left w:val="none" w:sz="0" w:space="0" w:color="auto"/>
        <w:bottom w:val="none" w:sz="0" w:space="0" w:color="auto"/>
        <w:right w:val="none" w:sz="0" w:space="0" w:color="auto"/>
      </w:divBdr>
    </w:div>
    <w:div w:id="2087680194">
      <w:bodyDiv w:val="1"/>
      <w:marLeft w:val="0"/>
      <w:marRight w:val="0"/>
      <w:marTop w:val="0"/>
      <w:marBottom w:val="0"/>
      <w:divBdr>
        <w:top w:val="none" w:sz="0" w:space="0" w:color="auto"/>
        <w:left w:val="none" w:sz="0" w:space="0" w:color="auto"/>
        <w:bottom w:val="none" w:sz="0" w:space="0" w:color="auto"/>
        <w:right w:val="none" w:sz="0" w:space="0" w:color="auto"/>
      </w:divBdr>
    </w:div>
    <w:div w:id="2114670737">
      <w:bodyDiv w:val="1"/>
      <w:marLeft w:val="0"/>
      <w:marRight w:val="0"/>
      <w:marTop w:val="0"/>
      <w:marBottom w:val="0"/>
      <w:divBdr>
        <w:top w:val="none" w:sz="0" w:space="0" w:color="auto"/>
        <w:left w:val="none" w:sz="0" w:space="0" w:color="auto"/>
        <w:bottom w:val="none" w:sz="0" w:space="0" w:color="auto"/>
        <w:right w:val="none" w:sz="0" w:space="0" w:color="auto"/>
      </w:divBdr>
    </w:div>
    <w:div w:id="212488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jenlinea3.poder-judicial.go.cr/estadisticasoij/" TargetMode="External"/><Relationship Id="rId23" Type="http://schemas.openxmlformats.org/officeDocument/2006/relationships/footer" Target="footer4.xm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pjenlinea3.poder-judicial.go.cr/estadisticasoij/"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mjp.go.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jp.go.c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jp.go.c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mjp.go.c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mjp.go.cr"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mjp.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212161a-ff09-441e-984f-63f30f77164b" xsi:nil="true"/>
    <lcf76f155ced4ddcb4097134ff3c332f xmlns="34540ae8-d035-4b92-be29-c64edec5e17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6BAE42742231A49AB291301C3BFA169" ma:contentTypeVersion="12" ma:contentTypeDescription="Crear nuevo documento." ma:contentTypeScope="" ma:versionID="241fd9b4b40529079925dbd863f677c1">
  <xsd:schema xmlns:xsd="http://www.w3.org/2001/XMLSchema" xmlns:xs="http://www.w3.org/2001/XMLSchema" xmlns:p="http://schemas.microsoft.com/office/2006/metadata/properties" xmlns:ns2="34540ae8-d035-4b92-be29-c64edec5e172" xmlns:ns3="7212161a-ff09-441e-984f-63f30f77164b" targetNamespace="http://schemas.microsoft.com/office/2006/metadata/properties" ma:root="true" ma:fieldsID="bb16c6d346dd1713cfe1a0f4e3fc4be5" ns2:_="" ns3:_="">
    <xsd:import namespace="34540ae8-d035-4b92-be29-c64edec5e172"/>
    <xsd:import namespace="7212161a-ff09-441e-984f-63f30f771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40ae8-d035-4b92-be29-c64edec5e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9768251-4282-46cb-ac5b-6242e336cae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12161a-ff09-441e-984f-63f30f77164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ec5f608-ec8b-4b6d-b959-c3c7da498abf}" ma:internalName="TaxCatchAll" ma:showField="CatchAllData" ma:web="7212161a-ff09-441e-984f-63f30f771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BD0727-E51C-4B9B-8981-16CA15BCE00B}">
  <ds:schemaRefs>
    <ds:schemaRef ds:uri="http://schemas.microsoft.com/office/2006/metadata/properties"/>
    <ds:schemaRef ds:uri="http://schemas.microsoft.com/office/infopath/2007/PartnerControls"/>
    <ds:schemaRef ds:uri="7212161a-ff09-441e-984f-63f30f77164b"/>
    <ds:schemaRef ds:uri="34540ae8-d035-4b92-be29-c64edec5e172"/>
  </ds:schemaRefs>
</ds:datastoreItem>
</file>

<file path=customXml/itemProps2.xml><?xml version="1.0" encoding="utf-8"?>
<ds:datastoreItem xmlns:ds="http://schemas.openxmlformats.org/officeDocument/2006/customXml" ds:itemID="{3AF17E27-0917-41DD-96AB-FEEDD7F94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40ae8-d035-4b92-be29-c64edec5e172"/>
    <ds:schemaRef ds:uri="7212161a-ff09-441e-984f-63f30f771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FBA-56E8-4739-8A40-1589D46D5A23}">
  <ds:schemaRefs>
    <ds:schemaRef ds:uri="http://schemas.openxmlformats.org/officeDocument/2006/bibliography"/>
  </ds:schemaRefs>
</ds:datastoreItem>
</file>

<file path=customXml/itemProps4.xml><?xml version="1.0" encoding="utf-8"?>
<ds:datastoreItem xmlns:ds="http://schemas.openxmlformats.org/officeDocument/2006/customXml" ds:itemID="{F7D98C0F-DE53-4235-8D9D-0BA2045623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37241</Words>
  <Characters>204829</Characters>
  <Application>Microsoft Office Word</Application>
  <DocSecurity>0</DocSecurity>
  <Lines>1706</Lines>
  <Paragraphs>483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Campos Rojas</dc:creator>
  <cp:keywords/>
  <dc:description/>
  <cp:lastModifiedBy>Gabriel Campos Rojas</cp:lastModifiedBy>
  <cp:revision>3</cp:revision>
  <cp:lastPrinted>2026-01-28T17:53:00Z</cp:lastPrinted>
  <dcterms:created xsi:type="dcterms:W3CDTF">2026-01-28T17:53:00Z</dcterms:created>
  <dcterms:modified xsi:type="dcterms:W3CDTF">2026-01-28T17:53:00Z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ContentTypeId">
    <vt:lpwstr>0x010100B6BAE42742231A49AB291301C3BFA169</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